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A97C7F">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bookmarkStart w:id="4" w:name="_GoBack"/>
      <w:bookmarkEnd w:id="4"/>
    </w:p>
    <w:p w14:paraId="1FE6BB1D">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14:paraId="10AFBA27">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14:paraId="1406673F">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14:paraId="7002973C">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14:paraId="5B4BF0B6">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14:paraId="22E7EF98">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14:paraId="7A610994">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14:paraId="06C9F685">
      <w:pPr>
        <w:autoSpaceDE w:val="0"/>
        <w:autoSpaceDN w:val="0"/>
        <w:adjustRightInd w:val="0"/>
        <w:jc w:val="center"/>
        <w:rPr>
          <w:rFonts w:ascii="Times New Roman" w:hAnsi="Times New Roman" w:eastAsia="方正小标宋简体" w:cs="方正小标宋简体"/>
          <w:kern w:val="0"/>
          <w:sz w:val="48"/>
          <w:szCs w:val="48"/>
          <w:highlight w:val="none"/>
          <w:lang w:val="zh-CN"/>
        </w:rPr>
      </w:pPr>
      <w:r>
        <w:rPr>
          <w:rFonts w:hint="eastAsia" w:ascii="Times New Roman" w:hAnsi="Times New Roman" w:eastAsia="方正小标宋简体" w:cs="方正小标宋简体"/>
          <w:kern w:val="0"/>
          <w:sz w:val="48"/>
          <w:szCs w:val="48"/>
          <w:highlight w:val="none"/>
          <w:lang w:val="zh-CN"/>
        </w:rPr>
        <w:t>天津市电子信息技师学院2023年度部门决算</w:t>
      </w:r>
    </w:p>
    <w:p w14:paraId="0114A45D">
      <w:pPr>
        <w:autoSpaceDE w:val="0"/>
        <w:autoSpaceDN w:val="0"/>
        <w:adjustRightInd w:val="0"/>
        <w:spacing w:line="580" w:lineRule="exact"/>
        <w:jc w:val="center"/>
        <w:rPr>
          <w:rFonts w:ascii="Times New Roman" w:hAnsi="Times New Roman" w:eastAsia="黑体" w:cs="黑体"/>
          <w:sz w:val="30"/>
          <w:szCs w:val="30"/>
          <w:highlight w:val="none"/>
        </w:rPr>
      </w:pPr>
    </w:p>
    <w:p w14:paraId="43BC0F9D">
      <w:pPr>
        <w:autoSpaceDE w:val="0"/>
        <w:autoSpaceDN w:val="0"/>
        <w:adjustRightInd w:val="0"/>
        <w:spacing w:line="580" w:lineRule="exact"/>
        <w:jc w:val="center"/>
        <w:rPr>
          <w:rFonts w:ascii="Times New Roman" w:hAnsi="Times New Roman" w:eastAsia="黑体" w:cs="黑体"/>
          <w:sz w:val="30"/>
          <w:szCs w:val="30"/>
          <w:highlight w:val="none"/>
        </w:rPr>
      </w:pPr>
    </w:p>
    <w:p w14:paraId="34B8BBF6">
      <w:pPr>
        <w:autoSpaceDE w:val="0"/>
        <w:autoSpaceDN w:val="0"/>
        <w:adjustRightInd w:val="0"/>
        <w:spacing w:line="580" w:lineRule="exact"/>
        <w:jc w:val="center"/>
        <w:rPr>
          <w:rFonts w:ascii="Times New Roman" w:hAnsi="Times New Roman" w:eastAsia="黑体" w:cs="黑体"/>
          <w:sz w:val="30"/>
          <w:szCs w:val="30"/>
          <w:highlight w:val="none"/>
        </w:rPr>
      </w:pPr>
    </w:p>
    <w:p w14:paraId="451BF86D">
      <w:pPr>
        <w:autoSpaceDE w:val="0"/>
        <w:autoSpaceDN w:val="0"/>
        <w:adjustRightInd w:val="0"/>
        <w:spacing w:line="580" w:lineRule="exact"/>
        <w:jc w:val="center"/>
        <w:rPr>
          <w:rFonts w:ascii="Times New Roman" w:hAnsi="Times New Roman" w:eastAsia="黑体" w:cs="黑体"/>
          <w:sz w:val="30"/>
          <w:szCs w:val="30"/>
          <w:highlight w:val="none"/>
        </w:rPr>
      </w:pPr>
    </w:p>
    <w:p w14:paraId="6A452331">
      <w:pPr>
        <w:autoSpaceDE w:val="0"/>
        <w:autoSpaceDN w:val="0"/>
        <w:adjustRightInd w:val="0"/>
        <w:spacing w:line="580" w:lineRule="exact"/>
        <w:jc w:val="center"/>
        <w:rPr>
          <w:rFonts w:ascii="Times New Roman" w:hAnsi="Times New Roman" w:eastAsia="黑体" w:cs="黑体"/>
          <w:sz w:val="30"/>
          <w:szCs w:val="30"/>
          <w:highlight w:val="none"/>
        </w:rPr>
      </w:pPr>
    </w:p>
    <w:p w14:paraId="12CAC56B">
      <w:pPr>
        <w:autoSpaceDE w:val="0"/>
        <w:autoSpaceDN w:val="0"/>
        <w:adjustRightInd w:val="0"/>
        <w:spacing w:line="600" w:lineRule="exact"/>
        <w:jc w:val="center"/>
        <w:rPr>
          <w:rFonts w:ascii="Times New Roman" w:hAnsi="Times New Roman" w:eastAsia="黑体" w:cs="黑体"/>
          <w:kern w:val="0"/>
          <w:sz w:val="44"/>
          <w:szCs w:val="44"/>
          <w:highlight w:val="none"/>
        </w:rPr>
      </w:pPr>
      <w:r>
        <w:rPr>
          <w:rFonts w:ascii="Times New Roman" w:hAnsi="Times New Roman" w:eastAsia="黑体" w:cs="黑体"/>
          <w:sz w:val="30"/>
          <w:szCs w:val="30"/>
          <w:highlight w:val="none"/>
        </w:rPr>
        <w:br w:type="page"/>
      </w:r>
    </w:p>
    <w:p w14:paraId="6C28E8D5">
      <w:pPr>
        <w:autoSpaceDE w:val="0"/>
        <w:autoSpaceDN w:val="0"/>
        <w:adjustRightInd w:val="0"/>
        <w:spacing w:line="600" w:lineRule="exact"/>
        <w:jc w:val="center"/>
        <w:rPr>
          <w:rFonts w:ascii="Times New Roman" w:hAnsi="Times New Roman" w:eastAsia="黑体" w:cs="黑体"/>
          <w:kern w:val="0"/>
          <w:sz w:val="44"/>
          <w:szCs w:val="44"/>
          <w:highlight w:val="none"/>
        </w:rPr>
      </w:pPr>
      <w:r>
        <w:rPr>
          <w:rFonts w:hint="eastAsia" w:ascii="Times New Roman" w:hAnsi="Times New Roman" w:eastAsia="黑体" w:cs="黑体"/>
          <w:kern w:val="0"/>
          <w:sz w:val="44"/>
          <w:szCs w:val="44"/>
          <w:highlight w:val="none"/>
        </w:rPr>
        <w:t>目</w:t>
      </w:r>
      <w:r>
        <w:rPr>
          <w:rFonts w:hint="eastAsia" w:ascii="Times New Roman" w:hAnsi="Times New Roman" w:eastAsia="黑体" w:cs="黑体"/>
          <w:kern w:val="0"/>
          <w:sz w:val="44"/>
          <w:szCs w:val="44"/>
          <w:highlight w:val="none"/>
          <w:lang w:val="en-US" w:eastAsia="zh-CN"/>
        </w:rPr>
        <w:t xml:space="preserve">   </w:t>
      </w:r>
      <w:r>
        <w:rPr>
          <w:rFonts w:hint="eastAsia" w:ascii="Times New Roman" w:hAnsi="Times New Roman" w:eastAsia="黑体" w:cs="黑体"/>
          <w:kern w:val="0"/>
          <w:sz w:val="44"/>
          <w:szCs w:val="44"/>
          <w:highlight w:val="none"/>
        </w:rPr>
        <w:t>录</w:t>
      </w:r>
    </w:p>
    <w:p w14:paraId="509914F2">
      <w:pPr>
        <w:autoSpaceDE w:val="0"/>
        <w:autoSpaceDN w:val="0"/>
        <w:adjustRightInd w:val="0"/>
        <w:spacing w:line="600" w:lineRule="exact"/>
        <w:jc w:val="left"/>
        <w:rPr>
          <w:rFonts w:ascii="Times New Roman" w:hAnsi="Times New Roman" w:eastAsia="黑体" w:cs="黑体"/>
          <w:kern w:val="0"/>
          <w:sz w:val="30"/>
          <w:szCs w:val="30"/>
          <w:highlight w:val="none"/>
        </w:rPr>
      </w:pPr>
    </w:p>
    <w:p w14:paraId="5967A139">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第一部分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rPr>
        <w:t>概</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rPr>
        <w:t>况</w:t>
      </w:r>
    </w:p>
    <w:p w14:paraId="3C000C44">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一、主要职责</w:t>
      </w:r>
    </w:p>
    <w:p w14:paraId="462AC436">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二、机构设置</w:t>
      </w:r>
    </w:p>
    <w:p w14:paraId="475B2388">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第二部分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eastAsia="zh-CN"/>
        </w:rPr>
        <w:t>2023</w:t>
      </w:r>
      <w:r>
        <w:rPr>
          <w:rFonts w:hint="eastAsia" w:ascii="Times New Roman" w:hAnsi="Times New Roman" w:eastAsia="方正小标宋简体" w:cs="方正小标宋简体"/>
          <w:kern w:val="0"/>
          <w:sz w:val="30"/>
          <w:szCs w:val="30"/>
          <w:highlight w:val="none"/>
        </w:rPr>
        <w:t>年度部门决算表</w:t>
      </w:r>
    </w:p>
    <w:p w14:paraId="05F45B92">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一、收入支出决算总表</w:t>
      </w:r>
    </w:p>
    <w:p w14:paraId="755E0F15">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二、收入决算表（按功能分类列示）</w:t>
      </w:r>
    </w:p>
    <w:p w14:paraId="317AEE9F">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三、收入决算表（按单位列示）</w:t>
      </w:r>
    </w:p>
    <w:p w14:paraId="7E592946">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四、支出决算表</w:t>
      </w:r>
    </w:p>
    <w:p w14:paraId="651A29F9">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五、财政拨款收入支出决算总表</w:t>
      </w:r>
    </w:p>
    <w:p w14:paraId="2790CA9E">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六、一般公共预算财政拨款支出决算表</w:t>
      </w:r>
    </w:p>
    <w:p w14:paraId="69C7E8FD">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七、一般公共预算财政拨款基本支出决算表</w:t>
      </w:r>
    </w:p>
    <w:p w14:paraId="64C3A008">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八、政府性基金预算财政拨款收入支出决算表</w:t>
      </w:r>
    </w:p>
    <w:p w14:paraId="134E71F2">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九、国有资本经营预算财政拨款收入支出决算表</w:t>
      </w:r>
    </w:p>
    <w:p w14:paraId="6945F3D4">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经费支出决算表</w:t>
      </w:r>
    </w:p>
    <w:p w14:paraId="7251424C">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十一、项目支出决算表</w:t>
      </w:r>
    </w:p>
    <w:p w14:paraId="70B6CDD1">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十二、关于空表的说明</w:t>
      </w:r>
    </w:p>
    <w:p w14:paraId="705D4A11">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第三部分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eastAsia="zh-CN"/>
        </w:rPr>
        <w:t>2023</w:t>
      </w:r>
      <w:r>
        <w:rPr>
          <w:rFonts w:hint="eastAsia" w:ascii="Times New Roman" w:hAnsi="Times New Roman" w:eastAsia="方正小标宋简体" w:cs="方正小标宋简体"/>
          <w:kern w:val="0"/>
          <w:sz w:val="30"/>
          <w:szCs w:val="30"/>
          <w:highlight w:val="none"/>
        </w:rPr>
        <w:t>年度部门决算情况说明</w:t>
      </w:r>
    </w:p>
    <w:p w14:paraId="0298BC24">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一、收支决算总体情况说明</w:t>
      </w:r>
    </w:p>
    <w:p w14:paraId="42C36CFC">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二、收入决算情况说明</w:t>
      </w:r>
    </w:p>
    <w:p w14:paraId="504C1375">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三、支出决算情况说明</w:t>
      </w:r>
    </w:p>
    <w:p w14:paraId="12BBB76F">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四、财政拨款收支决算总体情况说明</w:t>
      </w:r>
    </w:p>
    <w:p w14:paraId="53A6A2DB">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五、一般公共预算财政拨款支出决算情况说明</w:t>
      </w:r>
    </w:p>
    <w:p w14:paraId="2DB3141F">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六、一般公共预算财政拨款基本支出决算情况说明</w:t>
      </w:r>
    </w:p>
    <w:p w14:paraId="520B29C9">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七、政府性基金预算财政拨款收支决算情况说明</w:t>
      </w:r>
    </w:p>
    <w:p w14:paraId="6EE5811A">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八、国有资本经营预算财政拨款收支决算情况说明</w:t>
      </w:r>
    </w:p>
    <w:p w14:paraId="1E88D1B0">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九、财政拨款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经费支出决算情况说明</w:t>
      </w:r>
    </w:p>
    <w:p w14:paraId="00652058">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十、机关运行经费支出情况说明</w:t>
      </w:r>
    </w:p>
    <w:p w14:paraId="02233FB7">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十一、政府采购支出情况说明</w:t>
      </w:r>
    </w:p>
    <w:p w14:paraId="56ACF9B9">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十二、国有资产占有使用情况说明</w:t>
      </w:r>
    </w:p>
    <w:p w14:paraId="21F2D994">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十三、预算绩效情况说明</w:t>
      </w:r>
    </w:p>
    <w:p w14:paraId="504D7C15">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lang w:val="en"/>
        </w:rPr>
      </w:pPr>
      <w:r>
        <w:rPr>
          <w:rFonts w:hint="eastAsia" w:ascii="Times New Roman" w:hAnsi="Times New Roman" w:eastAsia="仿宋_GB2312" w:cs="仿宋_GB2312"/>
          <w:kern w:val="0"/>
          <w:sz w:val="30"/>
          <w:szCs w:val="30"/>
          <w:highlight w:val="none"/>
        </w:rPr>
        <w:t>十四、教育、医疗卫生、社会保障和就业、住房保障、涉农补贴等民生支出情况说明</w:t>
      </w:r>
    </w:p>
    <w:p w14:paraId="4A0E76B7">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lang w:val="en"/>
        </w:rPr>
      </w:pPr>
      <w:r>
        <w:rPr>
          <w:rFonts w:hint="eastAsia" w:ascii="Times New Roman" w:hAnsi="Times New Roman" w:eastAsia="方正小标宋简体" w:cs="方正小标宋简体"/>
          <w:kern w:val="0"/>
          <w:sz w:val="30"/>
          <w:szCs w:val="30"/>
          <w:highlight w:val="none"/>
          <w:lang w:val="en"/>
        </w:rPr>
        <w:t>第四部分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val="en"/>
        </w:rPr>
        <w:t>名词解释</w:t>
      </w:r>
    </w:p>
    <w:p w14:paraId="70484F44">
      <w:pPr>
        <w:autoSpaceDE w:val="0"/>
        <w:autoSpaceDN w:val="0"/>
        <w:adjustRightInd w:val="0"/>
        <w:spacing w:line="700" w:lineRule="exact"/>
        <w:jc w:val="left"/>
        <w:rPr>
          <w:rFonts w:ascii="Times New Roman" w:hAnsi="Times New Roman" w:eastAsia="黑体" w:cs="黑体"/>
          <w:sz w:val="30"/>
          <w:szCs w:val="30"/>
          <w:highlight w:val="none"/>
          <w:lang w:val="zh-CN"/>
        </w:rPr>
      </w:pPr>
      <w:r>
        <w:rPr>
          <w:rFonts w:ascii="Times New Roman" w:hAnsi="Times New Roman" w:eastAsia="黑体" w:cs="黑体"/>
          <w:sz w:val="30"/>
          <w:szCs w:val="30"/>
          <w:highlight w:val="none"/>
          <w:lang w:val="zh-CN"/>
        </w:rPr>
        <w:br w:type="page"/>
      </w:r>
    </w:p>
    <w:p w14:paraId="0DAED069">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第一部分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rPr>
        <w:t>概</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rPr>
        <w:t>况</w:t>
      </w:r>
    </w:p>
    <w:p w14:paraId="07C2188F">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一、主要职责</w:t>
      </w:r>
    </w:p>
    <w:p w14:paraId="0E0B219E">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电子信息技师学院（天津市仪表无线电工业学校）(以下简称“学院”)始建于1963年，是首批国家中等职业教育改革发展示范学校、国家级重点高级技工学校（市级重点中专）；被人力资源和社会保障部确立为国家级高技能人才培训基地、世界技能大赛“信息网络布线”项目中国集训基地、全国技工院校一体化师资培训基地；被教育部确立为全国职业院校技能大赛承办单位、国家西部民族地区技能型紧缺人才培养基地；是一所集学制教育、职业技能培训鉴定等功能于一体的培养中、高级技工、技师、高级技师技能型人才的全日制职业学校。</w:t>
      </w:r>
    </w:p>
    <w:p w14:paraId="4F13AA54">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二、机构设置</w:t>
      </w:r>
    </w:p>
    <w:p w14:paraId="4341C114">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电子信息技师学院内设21个内设机构：党委办公室、纪委办公室、行政办公室、人力资源部、教务部、学生工作部、招生就业办公室、财务部、安全保卫部、后勤保障部、信息技术系、先进制造系、智能控制系、商务服务系、基础教学部、思想政治教育教学部、教育教学研究室、竞赛办公室、培训认定办公室、工会、团委</w:t>
      </w:r>
      <w:bookmarkStart w:id="0" w:name="OLE_LINK1"/>
      <w:r>
        <w:rPr>
          <w:rFonts w:hint="eastAsia" w:ascii="Times New Roman" w:hAnsi="Times New Roman" w:eastAsia="仿宋_GB2312" w:cs="仿宋_GB2312"/>
          <w:sz w:val="30"/>
          <w:szCs w:val="30"/>
          <w:highlight w:val="none"/>
          <w:lang w:eastAsia="zh-CN"/>
        </w:rPr>
        <w:t>。</w:t>
      </w:r>
      <w:bookmarkEnd w:id="0"/>
      <w:r>
        <w:rPr>
          <w:rFonts w:hint="eastAsia" w:ascii="Times New Roman" w:hAnsi="Times New Roman" w:eastAsia="仿宋_GB2312" w:cs="仿宋_GB2312"/>
          <w:sz w:val="30"/>
          <w:szCs w:val="30"/>
          <w:highlight w:val="none"/>
          <w:lang w:eastAsia="zh-CN"/>
        </w:rPr>
        <w:t>下辖0个预算单位。纳入天津市电子信息技师学院2023年度部门决算编制范围的单位包括：</w:t>
      </w:r>
    </w:p>
    <w:p w14:paraId="7458F905">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天津市电子信息技师学院</w:t>
      </w:r>
    </w:p>
    <w:p w14:paraId="339B99E4">
      <w:pPr>
        <w:rPr>
          <w:rFonts w:ascii="Times New Roman" w:hAnsi="Times New Roman" w:eastAsia="黑体" w:cs="黑体"/>
          <w:sz w:val="30"/>
          <w:szCs w:val="30"/>
          <w:highlight w:val="none"/>
          <w:lang w:val="zh-CN"/>
        </w:rPr>
      </w:pPr>
      <w:r>
        <w:rPr>
          <w:rFonts w:ascii="Times New Roman" w:hAnsi="Times New Roman" w:eastAsia="黑体" w:cs="黑体"/>
          <w:sz w:val="30"/>
          <w:szCs w:val="30"/>
          <w:highlight w:val="none"/>
          <w:lang w:val="zh-CN"/>
        </w:rPr>
        <w:br w:type="page"/>
      </w:r>
    </w:p>
    <w:p w14:paraId="7D930553">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第二部分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lang w:eastAsia="zh-CN"/>
        </w:rPr>
        <w:t>2023</w:t>
      </w:r>
      <w:r>
        <w:rPr>
          <w:rFonts w:hint="eastAsia" w:ascii="Times New Roman" w:hAnsi="Times New Roman" w:eastAsia="方正小标宋简体" w:cs="方正小标宋简体"/>
          <w:kern w:val="44"/>
          <w:sz w:val="44"/>
          <w:szCs w:val="44"/>
          <w:highlight w:val="none"/>
        </w:rPr>
        <w:t>年度部门决算表</w:t>
      </w:r>
    </w:p>
    <w:p w14:paraId="6E793C72">
      <w:pPr>
        <w:autoSpaceDE w:val="0"/>
        <w:autoSpaceDN w:val="0"/>
        <w:adjustRightInd w:val="0"/>
        <w:spacing w:line="600" w:lineRule="exact"/>
        <w:jc w:val="left"/>
        <w:rPr>
          <w:rFonts w:ascii="Times New Roman" w:hAnsi="Times New Roman" w:eastAsia="方正小标宋简体" w:cs="Times New Roman"/>
          <w:kern w:val="0"/>
          <w:sz w:val="24"/>
          <w:szCs w:val="24"/>
          <w:highlight w:val="none"/>
        </w:rPr>
      </w:pPr>
    </w:p>
    <w:p w14:paraId="37A656B0">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一、《收入支出决算总表》</w:t>
      </w:r>
    </w:p>
    <w:p w14:paraId="75443628">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二、《收入决算表（按功能分类列示）》</w:t>
      </w:r>
    </w:p>
    <w:p w14:paraId="445A35D6">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三、《收入决算表（按单位列示）》</w:t>
      </w:r>
    </w:p>
    <w:p w14:paraId="779794FB">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四、《支出决算表》</w:t>
      </w:r>
    </w:p>
    <w:p w14:paraId="7BD98546">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五、《财政拨款收入支出决算总表》</w:t>
      </w:r>
    </w:p>
    <w:p w14:paraId="646ED487">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六、《一般公共预算财政拨款支出决算表》</w:t>
      </w:r>
    </w:p>
    <w:p w14:paraId="5173489F">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七、《一般公共预算财政拨款基本支出决算表》</w:t>
      </w:r>
    </w:p>
    <w:p w14:paraId="4BD5F934">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八、《政府性基金预算财政拨款收入支出决算表》</w:t>
      </w:r>
    </w:p>
    <w:p w14:paraId="1B01A31E">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九、《国有资本经营预算财政拨款收入支出决算表》</w:t>
      </w:r>
    </w:p>
    <w:p w14:paraId="2F899498">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十、《财政拨款</w:t>
      </w:r>
      <w:r>
        <w:rPr>
          <w:rFonts w:ascii="Times New Roman" w:hAnsi="Times New Roman" w:eastAsia="黑体" w:cs="黑体"/>
          <w:kern w:val="0"/>
          <w:sz w:val="30"/>
          <w:szCs w:val="30"/>
          <w:highlight w:val="none"/>
        </w:rPr>
        <w:t>“</w:t>
      </w:r>
      <w:r>
        <w:rPr>
          <w:rFonts w:hint="eastAsia" w:ascii="Times New Roman" w:hAnsi="Times New Roman" w:eastAsia="黑体" w:cs="黑体"/>
          <w:kern w:val="0"/>
          <w:sz w:val="30"/>
          <w:szCs w:val="30"/>
          <w:highlight w:val="none"/>
        </w:rPr>
        <w:t>三公</w:t>
      </w:r>
      <w:r>
        <w:rPr>
          <w:rFonts w:ascii="Times New Roman" w:hAnsi="Times New Roman" w:eastAsia="黑体" w:cs="黑体"/>
          <w:kern w:val="0"/>
          <w:sz w:val="30"/>
          <w:szCs w:val="30"/>
          <w:highlight w:val="none"/>
        </w:rPr>
        <w:t>”</w:t>
      </w:r>
      <w:r>
        <w:rPr>
          <w:rFonts w:hint="eastAsia" w:ascii="Times New Roman" w:hAnsi="Times New Roman" w:eastAsia="黑体" w:cs="黑体"/>
          <w:kern w:val="0"/>
          <w:sz w:val="30"/>
          <w:szCs w:val="30"/>
          <w:highlight w:val="none"/>
        </w:rPr>
        <w:t>经费支出决算表》</w:t>
      </w:r>
    </w:p>
    <w:p w14:paraId="6E8DC788">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十一、《项目支出决算表》</w:t>
      </w:r>
    </w:p>
    <w:p w14:paraId="22F430CA">
      <w:pPr>
        <w:autoSpaceDE w:val="0"/>
        <w:autoSpaceDN w:val="0"/>
        <w:adjustRightInd w:val="0"/>
        <w:spacing w:line="800" w:lineRule="exact"/>
        <w:jc w:val="left"/>
        <w:rPr>
          <w:rFonts w:ascii="Times New Roman" w:hAnsi="Times New Roman" w:eastAsia="楷体" w:cs="楷体"/>
          <w:kern w:val="0"/>
          <w:sz w:val="30"/>
          <w:szCs w:val="30"/>
          <w:highlight w:val="none"/>
        </w:rPr>
      </w:pPr>
      <w:r>
        <w:rPr>
          <w:rFonts w:hint="eastAsia" w:ascii="Times New Roman" w:hAnsi="Times New Roman" w:eastAsia="楷体" w:cs="楷体"/>
          <w:kern w:val="0"/>
          <w:sz w:val="30"/>
          <w:szCs w:val="30"/>
          <w:highlight w:val="none"/>
        </w:rPr>
        <w:t>注：以上决算公开表均作为附表，附于决算公开说明文档后。</w:t>
      </w:r>
    </w:p>
    <w:p w14:paraId="2264C2B2">
      <w:pPr>
        <w:autoSpaceDE w:val="0"/>
        <w:autoSpaceDN w:val="0"/>
        <w:adjustRightInd w:val="0"/>
        <w:spacing w:line="600" w:lineRule="exact"/>
        <w:jc w:val="left"/>
        <w:rPr>
          <w:rFonts w:ascii="Times New Roman" w:hAnsi="Times New Roman" w:eastAsia="黑体" w:cs="黑体"/>
          <w:b/>
          <w:bCs/>
          <w:kern w:val="0"/>
          <w:sz w:val="30"/>
          <w:szCs w:val="30"/>
          <w:highlight w:val="none"/>
        </w:rPr>
      </w:pPr>
      <w:r>
        <w:rPr>
          <w:rFonts w:ascii="Times New Roman" w:hAnsi="Times New Roman" w:eastAsia="楷体" w:cs="Times New Roman"/>
          <w:kern w:val="0"/>
          <w:sz w:val="24"/>
          <w:szCs w:val="24"/>
          <w:highlight w:val="none"/>
        </w:rPr>
        <w:br w:type="page"/>
      </w:r>
      <w:r>
        <w:rPr>
          <w:rFonts w:hint="eastAsia" w:ascii="Times New Roman" w:hAnsi="Times New Roman" w:eastAsia="黑体" w:cs="黑体"/>
          <w:b/>
          <w:bCs/>
          <w:kern w:val="0"/>
          <w:sz w:val="30"/>
          <w:szCs w:val="30"/>
          <w:highlight w:val="none"/>
        </w:rPr>
        <w:t>十二、关于空表的说明</w:t>
      </w:r>
    </w:p>
    <w:p w14:paraId="1C01883D">
      <w:pPr>
        <w:keepNext w:val="0"/>
        <w:keepLines w:val="0"/>
        <w:pageBreakBefore w:val="0"/>
        <w:widowControl w:val="0"/>
        <w:kinsoku/>
        <w:wordWrap/>
        <w:overflowPunct/>
        <w:topLinePunct w:val="0"/>
        <w:autoSpaceDE w:val="0"/>
        <w:autoSpaceDN w:val="0"/>
        <w:bidi w:val="0"/>
        <w:adjustRightInd w:val="0"/>
        <w:snapToGrid/>
        <w:spacing w:line="600" w:lineRule="exact"/>
        <w:ind w:firstLine="601"/>
        <w:jc w:val="left"/>
        <w:textAlignment w:val="auto"/>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1、天津市电子信息技师学院2023年度国有资本经营预算财政拨款收入支出决算表为空表。</w:t>
      </w:r>
    </w:p>
    <w:p w14:paraId="2FE2258D">
      <w:pPr>
        <w:keepNext w:val="0"/>
        <w:keepLines w:val="0"/>
        <w:pageBreakBefore w:val="0"/>
        <w:widowControl w:val="0"/>
        <w:kinsoku/>
        <w:wordWrap/>
        <w:overflowPunct/>
        <w:topLinePunct w:val="0"/>
        <w:autoSpaceDE w:val="0"/>
        <w:autoSpaceDN w:val="0"/>
        <w:bidi w:val="0"/>
        <w:adjustRightInd w:val="0"/>
        <w:snapToGrid/>
        <w:spacing w:line="600" w:lineRule="exact"/>
        <w:ind w:firstLine="601"/>
        <w:jc w:val="left"/>
        <w:textAlignment w:val="auto"/>
        <w:rPr>
          <w:rFonts w:hint="eastAsia" w:ascii="Times New Roman" w:hAnsi="Times New Roman" w:eastAsia="仿宋_GB2312" w:cs="仿宋_GB2312"/>
          <w:sz w:val="30"/>
          <w:szCs w:val="30"/>
          <w:highlight w:val="none"/>
          <w:lang w:eastAsia="zh-CN"/>
        </w:rPr>
      </w:pPr>
    </w:p>
    <w:p w14:paraId="5D22ECE0">
      <w:pPr>
        <w:keepNext/>
        <w:keepLines/>
        <w:autoSpaceDE w:val="0"/>
        <w:autoSpaceDN w:val="0"/>
        <w:adjustRightInd w:val="0"/>
        <w:spacing w:line="600" w:lineRule="exact"/>
        <w:ind w:firstLine="600"/>
        <w:jc w:val="left"/>
        <w:outlineLvl w:val="1"/>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第三部分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lang w:eastAsia="zh-CN"/>
        </w:rPr>
        <w:t>2023</w:t>
      </w:r>
      <w:r>
        <w:rPr>
          <w:rFonts w:hint="eastAsia" w:ascii="Times New Roman" w:hAnsi="Times New Roman" w:eastAsia="方正小标宋简体" w:cs="方正小标宋简体"/>
          <w:kern w:val="44"/>
          <w:sz w:val="44"/>
          <w:szCs w:val="44"/>
          <w:highlight w:val="none"/>
        </w:rPr>
        <w:t>年度部门决算情况说明</w:t>
      </w:r>
    </w:p>
    <w:p w14:paraId="772FB52F">
      <w:pPr>
        <w:autoSpaceDE w:val="0"/>
        <w:autoSpaceDN w:val="0"/>
        <w:adjustRightInd w:val="0"/>
        <w:spacing w:line="580" w:lineRule="exact"/>
        <w:ind w:firstLine="600"/>
        <w:jc w:val="left"/>
        <w:rPr>
          <w:rFonts w:ascii="Times New Roman" w:hAnsi="Times New Roman" w:eastAsia="黑体" w:cs="黑体"/>
          <w:sz w:val="30"/>
          <w:szCs w:val="30"/>
          <w:highlight w:val="none"/>
          <w:lang w:val="zh-CN"/>
        </w:rPr>
      </w:pPr>
    </w:p>
    <w:p w14:paraId="46332D1B">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一、收入支出决算总体情况说明</w:t>
      </w:r>
    </w:p>
    <w:p w14:paraId="31906A7C">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val="zh-CN" w:eastAsia="zh-CN"/>
        </w:rPr>
        <w:t>天津市电子信息技师学院2023年度收入、支出决算总计</w:t>
      </w:r>
      <w:r>
        <w:rPr>
          <w:rFonts w:hint="eastAsia" w:ascii="Times New Roman" w:hAnsi="Times New Roman" w:eastAsia="仿宋_GB2312" w:cs="仿宋_GB2312"/>
          <w:sz w:val="30"/>
          <w:szCs w:val="30"/>
          <w:highlight w:val="none"/>
          <w:lang w:eastAsia="zh-CN"/>
        </w:rPr>
        <w:t>160,607,978.40元，与2022年度相比，收、支总计各减少43,885,820.21元，下降21.46%，</w:t>
      </w:r>
      <w:r>
        <w:rPr>
          <w:rFonts w:hint="eastAsia" w:ascii="Times New Roman" w:hAnsi="Times New Roman" w:eastAsia="仿宋_GB2312" w:cs="仿宋_GB2312"/>
          <w:sz w:val="30"/>
          <w:szCs w:val="30"/>
          <w:highlight w:val="none"/>
          <w:lang w:val="zh-CN" w:eastAsia="zh-CN"/>
        </w:rPr>
        <w:t>主要原因是</w:t>
      </w:r>
      <w:r>
        <w:rPr>
          <w:rFonts w:hint="eastAsia" w:ascii="Times New Roman" w:hAnsi="Times New Roman" w:eastAsia="仿宋_GB2312" w:cs="仿宋_GB2312"/>
          <w:sz w:val="30"/>
          <w:szCs w:val="30"/>
          <w:highlight w:val="none"/>
          <w:lang w:eastAsia="zh-CN"/>
        </w:rPr>
        <w:t>：与2022年相比，2023年产业综合实训中心建设项目政府性基金预算财政拨款收入减少51555188.55元。</w:t>
      </w:r>
    </w:p>
    <w:p w14:paraId="66C60B8D">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二、</w:t>
      </w:r>
      <w:r>
        <w:rPr>
          <w:rFonts w:hint="eastAsia" w:ascii="Times New Roman" w:hAnsi="Times New Roman" w:eastAsia="黑体" w:cs="黑体"/>
          <w:b/>
          <w:bCs/>
          <w:kern w:val="0"/>
          <w:sz w:val="30"/>
          <w:szCs w:val="30"/>
          <w:highlight w:val="none"/>
        </w:rPr>
        <w:t>收入决算情况</w:t>
      </w:r>
      <w:r>
        <w:rPr>
          <w:rFonts w:hint="eastAsia" w:ascii="Times New Roman" w:hAnsi="Times New Roman" w:eastAsia="黑体" w:cs="黑体"/>
          <w:b/>
          <w:bCs/>
          <w:kern w:val="0"/>
          <w:sz w:val="30"/>
          <w:szCs w:val="30"/>
          <w:highlight w:val="none"/>
          <w:lang w:val="zh-CN"/>
        </w:rPr>
        <w:t>说明</w:t>
      </w:r>
    </w:p>
    <w:p w14:paraId="18E7C5F8">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lang w:eastAsia="zh-CN"/>
        </w:rPr>
      </w:pPr>
      <w:r>
        <w:rPr>
          <w:rFonts w:hint="eastAsia" w:ascii="Times New Roman" w:hAnsi="Times New Roman" w:eastAsia="仿宋_GB2312" w:cs="仿宋_GB2312"/>
          <w:sz w:val="30"/>
          <w:szCs w:val="30"/>
          <w:highlight w:val="none"/>
          <w:lang w:eastAsia="zh-CN"/>
        </w:rPr>
        <w:t>天津市电子信息技师学院</w:t>
      </w:r>
      <w:r>
        <w:rPr>
          <w:rFonts w:hint="eastAsia" w:ascii="Times New Roman" w:hAnsi="Times New Roman" w:eastAsia="仿宋_GB2312" w:cs="Times New Roman"/>
          <w:sz w:val="30"/>
          <w:szCs w:val="30"/>
          <w:highlight w:val="none"/>
          <w:lang w:eastAsia="zh-CN"/>
        </w:rPr>
        <w:t>2023</w:t>
      </w:r>
      <w:r>
        <w:rPr>
          <w:rFonts w:hint="eastAsia" w:ascii="Times New Roman" w:hAnsi="Times New Roman" w:eastAsia="仿宋_GB2312" w:cs="仿宋_GB2312"/>
          <w:sz w:val="30"/>
          <w:szCs w:val="30"/>
          <w:highlight w:val="none"/>
          <w:lang w:val="zh-CN"/>
        </w:rPr>
        <w:t>年度本年收入合计</w:t>
      </w:r>
      <w:r>
        <w:rPr>
          <w:rFonts w:hint="eastAsia" w:ascii="Times New Roman" w:hAnsi="Times New Roman" w:eastAsia="仿宋_GB2312" w:cs="Times New Roman"/>
          <w:sz w:val="30"/>
          <w:szCs w:val="30"/>
          <w:highlight w:val="none"/>
          <w:lang w:eastAsia="zh-CN"/>
        </w:rPr>
        <w:t>146,474,555.38</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eastAsia="zh-CN"/>
        </w:rPr>
        <w:t>减少52,641,271.16</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lang w:val="zh-CN"/>
        </w:rPr>
        <w:t>主要原因是</w:t>
      </w:r>
      <w:r>
        <w:rPr>
          <w:rFonts w:hint="eastAsia"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lang w:eastAsia="zh-CN"/>
        </w:rPr>
        <w:t>与2022年相比，2023年产业综合实训中心建设项目政府性基金预算财政拨款收入减少51555188.55元。</w:t>
      </w:r>
    </w:p>
    <w:p w14:paraId="6E205D8C">
      <w:pPr>
        <w:autoSpaceDE w:val="0"/>
        <w:autoSpaceDN w:val="0"/>
        <w:adjustRightInd w:val="0"/>
        <w:spacing w:line="600" w:lineRule="exact"/>
        <w:ind w:firstLine="600"/>
        <w:jc w:val="left"/>
        <w:rPr>
          <w:rFonts w:hint="eastAsia" w:ascii="Times New Roman" w:hAnsi="Times New Roman" w:eastAsia="宋体" w:cs="Times New Roman"/>
          <w:sz w:val="30"/>
          <w:szCs w:val="30"/>
          <w:highlight w:val="none"/>
          <w:lang w:eastAsia="zh-CN"/>
        </w:rPr>
      </w:pPr>
      <w:r>
        <w:rPr>
          <w:rFonts w:hint="eastAsia" w:ascii="Times New Roman" w:hAnsi="Times New Roman" w:eastAsia="仿宋_GB2312" w:cs="仿宋_GB2312"/>
          <w:sz w:val="30"/>
          <w:szCs w:val="30"/>
          <w:highlight w:val="none"/>
        </w:rPr>
        <w:t>其中：</w:t>
      </w:r>
      <w:r>
        <w:rPr>
          <w:rFonts w:ascii="Times New Roman" w:hAnsi="Times New Roman" w:eastAsia="仿宋_GB2312" w:cs="仿宋_GB2312"/>
          <w:sz w:val="30"/>
          <w:szCs w:val="30"/>
          <w:highlight w:val="none"/>
          <w:lang w:val="zh-CN"/>
        </w:rPr>
        <w:t>一般公共预算财政拨款收入</w:t>
      </w:r>
      <w:r>
        <w:rPr>
          <w:rFonts w:hint="eastAsia" w:ascii="Times New Roman" w:hAnsi="Times New Roman" w:eastAsia="仿宋_GB2312" w:cs="Times New Roman"/>
          <w:sz w:val="30"/>
          <w:szCs w:val="30"/>
          <w:highlight w:val="none"/>
          <w:lang w:eastAsia="zh-CN"/>
        </w:rPr>
        <w:t>85,080,018.23</w:t>
      </w:r>
      <w:r>
        <w:rPr>
          <w:rFonts w:hint="eastAsia" w:ascii="Times New Roman" w:hAnsi="Times New Roman" w:eastAsia="仿宋_GB2312" w:cs="仿宋_GB2312"/>
          <w:sz w:val="30"/>
          <w:szCs w:val="30"/>
          <w:highlight w:val="none"/>
          <w:lang w:val="zh-CN"/>
        </w:rPr>
        <w:t>元</w:t>
      </w:r>
      <w:r>
        <w:rPr>
          <w:rFonts w:ascii="Times New Roman" w:hAnsi="Times New Roman" w:eastAsia="仿宋_GB2312" w:cs="仿宋_GB2312"/>
          <w:sz w:val="30"/>
          <w:szCs w:val="30"/>
          <w:highlight w:val="none"/>
          <w:lang w:val="zh-CN"/>
        </w:rPr>
        <w:t>，占</w:t>
      </w:r>
      <w:r>
        <w:rPr>
          <w:rFonts w:hint="eastAsia" w:ascii="Times New Roman" w:hAnsi="Times New Roman" w:eastAsia="仿宋_GB2312" w:cs="Times New Roman"/>
          <w:sz w:val="30"/>
          <w:szCs w:val="30"/>
          <w:highlight w:val="none"/>
          <w:lang w:eastAsia="zh-CN"/>
        </w:rPr>
        <w:t>58.09</w:t>
      </w:r>
      <w:r>
        <w:rPr>
          <w:rFonts w:hint="eastAsia" w:ascii="Times New Roman" w:hAnsi="Times New Roman" w:eastAsia="宋体" w:cs="Times New Roman"/>
          <w:sz w:val="30"/>
          <w:szCs w:val="30"/>
          <w:highlight w:val="none"/>
          <w:lang w:eastAsia="zh-CN"/>
        </w:rPr>
        <w:t>%；</w:t>
      </w:r>
    </w:p>
    <w:p w14:paraId="773F8219">
      <w:pPr>
        <w:autoSpaceDE w:val="0"/>
        <w:autoSpaceDN w:val="0"/>
        <w:adjustRightInd w:val="0"/>
        <w:spacing w:line="600" w:lineRule="exact"/>
        <w:ind w:firstLine="600" w:firstLineChars="200"/>
        <w:jc w:val="left"/>
        <w:rPr>
          <w:rFonts w:hint="eastAsia"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政府性基金预算财政拨款收入</w:t>
      </w:r>
      <w:r>
        <w:rPr>
          <w:rFonts w:hint="eastAsia" w:ascii="Times New Roman" w:hAnsi="Times New Roman" w:eastAsia="仿宋_GB2312" w:cs="仿宋_GB2312"/>
          <w:sz w:val="30"/>
          <w:szCs w:val="30"/>
          <w:highlight w:val="none"/>
          <w:lang w:val="zh-CN"/>
        </w:rPr>
        <w:t>20,542,184.45元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14.02%；</w:t>
      </w:r>
    </w:p>
    <w:p w14:paraId="366EA0A2">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国有资本经营预算财政拨款收入</w:t>
      </w:r>
      <w:r>
        <w:rPr>
          <w:rFonts w:hint="eastAsia" w:ascii="Times New Roman" w:hAnsi="Times New Roman" w:eastAsia="仿宋_GB2312" w:cs="仿宋_GB2312"/>
          <w:sz w:val="30"/>
          <w:szCs w:val="30"/>
          <w:highlight w:val="none"/>
          <w:lang w:val="zh-CN"/>
        </w:rPr>
        <w:t>0.00元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0.0%；</w:t>
      </w:r>
    </w:p>
    <w:p w14:paraId="5F7B59C3">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财政专户管理资金收入</w:t>
      </w:r>
      <w:r>
        <w:rPr>
          <w:rFonts w:hint="eastAsia" w:ascii="Times New Roman" w:hAnsi="Times New Roman" w:eastAsia="仿宋_GB2312" w:cs="仿宋_GB2312"/>
          <w:sz w:val="30"/>
          <w:szCs w:val="30"/>
          <w:highlight w:val="none"/>
          <w:lang w:val="zh-CN"/>
        </w:rPr>
        <w:t>4,497,900.00元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3.07%；</w:t>
      </w:r>
    </w:p>
    <w:p w14:paraId="7CFC80BD">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事业收入</w:t>
      </w:r>
      <w:r>
        <w:rPr>
          <w:rFonts w:hint="eastAsia" w:ascii="Times New Roman" w:hAnsi="Times New Roman" w:eastAsia="仿宋_GB2312" w:cs="仿宋_GB2312"/>
          <w:sz w:val="30"/>
          <w:szCs w:val="30"/>
          <w:highlight w:val="none"/>
          <w:lang w:val="zh-CN"/>
        </w:rPr>
        <w:t>0.00元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0.0%；</w:t>
      </w:r>
    </w:p>
    <w:p w14:paraId="39857FFD">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事业单位经营收入</w:t>
      </w:r>
      <w:r>
        <w:rPr>
          <w:rFonts w:hint="eastAsia" w:ascii="Times New Roman" w:hAnsi="Times New Roman" w:eastAsia="仿宋_GB2312" w:cs="仿宋_GB2312"/>
          <w:sz w:val="30"/>
          <w:szCs w:val="30"/>
          <w:highlight w:val="none"/>
          <w:lang w:val="zh-CN"/>
        </w:rPr>
        <w:t>4,369,260.00元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2.98%；</w:t>
      </w:r>
    </w:p>
    <w:p w14:paraId="3097F785">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上级补助收入</w:t>
      </w:r>
      <w:r>
        <w:rPr>
          <w:rFonts w:hint="eastAsia" w:ascii="Times New Roman" w:hAnsi="Times New Roman" w:eastAsia="仿宋_GB2312" w:cs="仿宋_GB2312"/>
          <w:sz w:val="30"/>
          <w:szCs w:val="30"/>
          <w:highlight w:val="none"/>
          <w:lang w:val="zh-CN"/>
        </w:rPr>
        <w:t>0.00元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0.0%；</w:t>
      </w:r>
    </w:p>
    <w:p w14:paraId="1A59222B">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zh-CN"/>
        </w:rPr>
      </w:pPr>
      <w:r>
        <w:rPr>
          <w:rFonts w:eastAsia="仿宋_GB2312"/>
          <w:sz w:val="30"/>
          <w:szCs w:val="30"/>
          <w:highlight w:val="none"/>
        </w:rPr>
        <w:t>附属单位上缴收入</w:t>
      </w:r>
      <w:r>
        <w:rPr>
          <w:rFonts w:hint="eastAsia" w:ascii="Times New Roman" w:hAnsi="Times New Roman" w:eastAsia="仿宋_GB2312" w:cs="仿宋_GB2312"/>
          <w:sz w:val="30"/>
          <w:szCs w:val="30"/>
          <w:highlight w:val="none"/>
          <w:lang w:val="zh-CN"/>
        </w:rPr>
        <w:t>0.00元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0.0%；</w:t>
      </w:r>
    </w:p>
    <w:p w14:paraId="52AB5513">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en-US" w:eastAsia="zh-CN"/>
        </w:rPr>
      </w:pPr>
      <w:r>
        <w:rPr>
          <w:rFonts w:ascii="Times New Roman" w:hAnsi="Times New Roman" w:eastAsia="仿宋_GB2312" w:cs="仿宋_GB2312"/>
          <w:sz w:val="30"/>
          <w:szCs w:val="30"/>
          <w:highlight w:val="none"/>
          <w:lang w:val="zh-CN"/>
        </w:rPr>
        <w:t>其他收入</w:t>
      </w:r>
      <w:r>
        <w:rPr>
          <w:rFonts w:hint="eastAsia" w:ascii="Times New Roman" w:hAnsi="Times New Roman" w:eastAsia="仿宋_GB2312" w:cs="仿宋_GB2312"/>
          <w:sz w:val="30"/>
          <w:szCs w:val="30"/>
          <w:highlight w:val="none"/>
          <w:lang w:val="zh-CN"/>
        </w:rPr>
        <w:t>31,985,192.70元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21.84%</w:t>
      </w:r>
      <w:r>
        <w:rPr>
          <w:rFonts w:hint="eastAsia" w:ascii="Times New Roman" w:hAnsi="Times New Roman" w:eastAsia="仿宋_GB2312" w:cs="仿宋_GB2312"/>
          <w:sz w:val="30"/>
          <w:szCs w:val="30"/>
          <w:highlight w:val="none"/>
          <w:lang w:val="zh-CN" w:eastAsia="zh-CN"/>
        </w:rPr>
        <w:t>。</w:t>
      </w:r>
    </w:p>
    <w:p w14:paraId="7EB1AA21">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三、支出</w:t>
      </w:r>
      <w:r>
        <w:rPr>
          <w:rFonts w:hint="eastAsia" w:ascii="Times New Roman" w:hAnsi="Times New Roman" w:eastAsia="黑体" w:cs="黑体"/>
          <w:b/>
          <w:bCs/>
          <w:kern w:val="0"/>
          <w:sz w:val="30"/>
          <w:szCs w:val="30"/>
          <w:highlight w:val="none"/>
        </w:rPr>
        <w:t>决算情况说明</w:t>
      </w:r>
    </w:p>
    <w:p w14:paraId="0F47FC2A">
      <w:pPr>
        <w:autoSpaceDE w:val="0"/>
        <w:autoSpaceDN w:val="0"/>
        <w:adjustRightInd w:val="0"/>
        <w:spacing w:line="580" w:lineRule="exact"/>
        <w:ind w:firstLine="600"/>
        <w:jc w:val="left"/>
        <w:rPr>
          <w:rFonts w:hint="eastAsia" w:ascii="Times New Roman" w:hAnsi="Times New Roman" w:eastAsia="仿宋_GB2312" w:cs="仿宋_GB2312"/>
          <w:kern w:val="0"/>
          <w:sz w:val="30"/>
          <w:szCs w:val="30"/>
          <w:highlight w:val="none"/>
          <w:lang w:eastAsia="zh-CN"/>
        </w:rPr>
      </w:pPr>
      <w:r>
        <w:rPr>
          <w:rFonts w:hint="eastAsia" w:ascii="Times New Roman" w:hAnsi="Times New Roman" w:eastAsia="仿宋_GB2312" w:cs="仿宋_GB2312"/>
          <w:sz w:val="30"/>
          <w:szCs w:val="30"/>
          <w:highlight w:val="none"/>
          <w:lang w:eastAsia="zh-CN"/>
        </w:rPr>
        <w:t>天津市电子信息技师学院</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年度本年支出合计</w:t>
      </w:r>
      <w:r>
        <w:rPr>
          <w:rFonts w:hint="eastAsia" w:ascii="Times New Roman" w:hAnsi="Times New Roman" w:eastAsia="仿宋_GB2312" w:cs="仿宋_GB2312"/>
          <w:sz w:val="30"/>
          <w:szCs w:val="30"/>
          <w:highlight w:val="none"/>
          <w:lang w:eastAsia="zh-CN"/>
        </w:rPr>
        <w:t>137,316,259.90</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仿宋_GB2312"/>
          <w:sz w:val="30"/>
          <w:szCs w:val="30"/>
          <w:highlight w:val="none"/>
          <w:lang w:eastAsia="zh-CN"/>
        </w:rPr>
        <w:t>59,208,141.39</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sz w:val="30"/>
          <w:szCs w:val="30"/>
          <w:highlight w:val="none"/>
          <w:lang w:val="zh-CN"/>
        </w:rPr>
        <w:t>主要原因是</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kern w:val="0"/>
          <w:sz w:val="30"/>
          <w:szCs w:val="30"/>
          <w:highlight w:val="none"/>
          <w:lang w:eastAsia="zh-CN"/>
        </w:rPr>
        <w:t>与2022年相比，2023年产业综合实训中心建设项目政府性基金预算财政拨款支出减少51555188.55元。</w:t>
      </w:r>
    </w:p>
    <w:p w14:paraId="115526DE">
      <w:pPr>
        <w:autoSpaceDE w:val="0"/>
        <w:autoSpaceDN w:val="0"/>
        <w:adjustRightInd w:val="0"/>
        <w:spacing w:line="580" w:lineRule="exact"/>
        <w:ind w:firstLine="600"/>
        <w:jc w:val="left"/>
        <w:rPr>
          <w:rFonts w:hint="eastAsia" w:ascii="Times New Roman" w:hAnsi="Times New Roman" w:eastAsia="仿宋_GB2312" w:cs="仿宋_GB2312"/>
          <w:sz w:val="30"/>
          <w:szCs w:val="30"/>
          <w:highlight w:val="none"/>
          <w:lang w:val="en-US" w:eastAsia="zh-CN"/>
        </w:rPr>
      </w:pPr>
      <w:r>
        <w:rPr>
          <w:rFonts w:hint="eastAsia" w:ascii="Times New Roman" w:hAnsi="Times New Roman" w:eastAsia="仿宋_GB2312" w:cs="仿宋_GB2312"/>
          <w:sz w:val="30"/>
          <w:szCs w:val="30"/>
          <w:highlight w:val="none"/>
        </w:rPr>
        <w:t>其中：</w:t>
      </w:r>
      <w:r>
        <w:rPr>
          <w:rFonts w:ascii="Times New Roman" w:hAnsi="Times New Roman" w:eastAsia="仿宋_GB2312" w:cs="仿宋_GB2312"/>
          <w:sz w:val="30"/>
          <w:szCs w:val="30"/>
          <w:highlight w:val="none"/>
        </w:rPr>
        <w:t>基本支出</w:t>
      </w:r>
      <w:r>
        <w:rPr>
          <w:rFonts w:hint="eastAsia" w:ascii="Times New Roman" w:hAnsi="Times New Roman" w:eastAsia="仿宋_GB2312" w:cs="仿宋_GB2312"/>
          <w:sz w:val="30"/>
          <w:szCs w:val="30"/>
          <w:highlight w:val="none"/>
          <w:lang w:eastAsia="zh-CN"/>
        </w:rPr>
        <w:t>86,989,593.44元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w:t>
      </w:r>
      <w:r>
        <w:rPr>
          <w:rFonts w:hint="eastAsia" w:ascii="Times New Roman" w:hAnsi="Times New Roman" w:eastAsia="仿宋_GB2312" w:cs="仿宋_GB2312"/>
          <w:sz w:val="30"/>
          <w:szCs w:val="30"/>
          <w:highlight w:val="none"/>
          <w:lang w:val="en-US" w:eastAsia="zh-CN"/>
        </w:rPr>
        <w:t>63.35</w:t>
      </w:r>
      <w:r>
        <w:rPr>
          <w:rFonts w:hint="eastAsia" w:ascii="Times New Roman" w:hAnsi="Times New Roman" w:eastAsia="仿宋_GB2312" w:cs="仿宋_GB2312"/>
          <w:sz w:val="30"/>
          <w:szCs w:val="30"/>
          <w:highlight w:val="none"/>
          <w:lang w:eastAsia="zh-CN"/>
        </w:rPr>
        <w:t>%；</w:t>
      </w:r>
    </w:p>
    <w:p w14:paraId="3CF41DD9">
      <w:pPr>
        <w:autoSpaceDE w:val="0"/>
        <w:autoSpaceDN w:val="0"/>
        <w:adjustRightInd w:val="0"/>
        <w:spacing w:line="580" w:lineRule="exact"/>
        <w:ind w:firstLine="600"/>
        <w:jc w:val="left"/>
        <w:rPr>
          <w:rFonts w:hint="eastAsia" w:ascii="Times New Roman" w:hAnsi="Times New Roman" w:eastAsia="仿宋_GB2312" w:cs="仿宋_GB2312"/>
          <w:sz w:val="30"/>
          <w:szCs w:val="30"/>
          <w:highlight w:val="none"/>
          <w:lang w:eastAsia="zh-CN"/>
        </w:rPr>
      </w:pPr>
      <w:r>
        <w:rPr>
          <w:rFonts w:ascii="Times New Roman" w:hAnsi="Times New Roman" w:eastAsia="仿宋_GB2312" w:cs="仿宋_GB2312"/>
          <w:sz w:val="30"/>
          <w:szCs w:val="30"/>
          <w:highlight w:val="none"/>
        </w:rPr>
        <w:t>项目支出</w:t>
      </w:r>
      <w:r>
        <w:rPr>
          <w:rFonts w:hint="eastAsia" w:ascii="Times New Roman" w:hAnsi="Times New Roman" w:eastAsia="仿宋_GB2312" w:cs="仿宋_GB2312"/>
          <w:sz w:val="30"/>
          <w:szCs w:val="30"/>
          <w:highlight w:val="none"/>
          <w:lang w:eastAsia="zh-CN"/>
        </w:rPr>
        <w:t>47,523,646.82元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占34.61%；</w:t>
      </w:r>
    </w:p>
    <w:p w14:paraId="53F1704F">
      <w:pPr>
        <w:autoSpaceDE w:val="0"/>
        <w:autoSpaceDN w:val="0"/>
        <w:adjustRightInd w:val="0"/>
        <w:spacing w:line="580" w:lineRule="exact"/>
        <w:ind w:firstLine="600"/>
        <w:jc w:val="left"/>
        <w:rPr>
          <w:rFonts w:hint="eastAsia" w:ascii="Times New Roman" w:hAnsi="Times New Roman" w:eastAsia="仿宋_GB2312" w:cs="仿宋_GB2312"/>
          <w:sz w:val="30"/>
          <w:szCs w:val="30"/>
          <w:highlight w:val="none"/>
          <w:lang w:eastAsia="zh-CN"/>
        </w:rPr>
      </w:pPr>
      <w:r>
        <w:rPr>
          <w:rFonts w:ascii="Times New Roman" w:hAnsi="Times New Roman" w:eastAsia="仿宋_GB2312" w:cs="仿宋_GB2312"/>
          <w:sz w:val="30"/>
          <w:szCs w:val="30"/>
          <w:highlight w:val="none"/>
        </w:rPr>
        <w:t>上缴上级支出</w:t>
      </w:r>
      <w:r>
        <w:rPr>
          <w:rFonts w:hint="eastAsia" w:ascii="Times New Roman" w:hAnsi="Times New Roman" w:eastAsia="仿宋_GB2312" w:cs="仿宋_GB2312"/>
          <w:sz w:val="30"/>
          <w:szCs w:val="30"/>
          <w:highlight w:val="none"/>
          <w:lang w:eastAsia="zh-CN"/>
        </w:rPr>
        <w:t>0.00元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占0.0%；</w:t>
      </w:r>
    </w:p>
    <w:p w14:paraId="03FD4C0D">
      <w:pPr>
        <w:autoSpaceDE w:val="0"/>
        <w:autoSpaceDN w:val="0"/>
        <w:adjustRightInd w:val="0"/>
        <w:spacing w:line="580" w:lineRule="exact"/>
        <w:ind w:firstLine="600"/>
        <w:jc w:val="left"/>
        <w:rPr>
          <w:rFonts w:hint="eastAsia" w:ascii="Times New Roman" w:hAnsi="Times New Roman" w:eastAsia="仿宋_GB2312" w:cs="仿宋_GB2312"/>
          <w:sz w:val="30"/>
          <w:szCs w:val="30"/>
          <w:highlight w:val="none"/>
          <w:lang w:eastAsia="zh-CN"/>
        </w:rPr>
      </w:pPr>
      <w:r>
        <w:rPr>
          <w:rFonts w:ascii="Times New Roman" w:hAnsi="Times New Roman" w:eastAsia="仿宋_GB2312" w:cs="仿宋_GB2312"/>
          <w:sz w:val="30"/>
          <w:szCs w:val="30"/>
          <w:highlight w:val="none"/>
        </w:rPr>
        <w:t>经营支出</w:t>
      </w:r>
      <w:r>
        <w:rPr>
          <w:rFonts w:hint="eastAsia" w:ascii="Times New Roman" w:hAnsi="Times New Roman" w:eastAsia="仿宋_GB2312" w:cs="仿宋_GB2312"/>
          <w:sz w:val="30"/>
          <w:szCs w:val="30"/>
          <w:highlight w:val="none"/>
          <w:lang w:eastAsia="zh-CN"/>
        </w:rPr>
        <w:t>2,803,019.64元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占2.04%；</w:t>
      </w:r>
    </w:p>
    <w:p w14:paraId="19210ACF">
      <w:pPr>
        <w:autoSpaceDE w:val="0"/>
        <w:autoSpaceDN w:val="0"/>
        <w:adjustRightInd w:val="0"/>
        <w:spacing w:line="580" w:lineRule="exact"/>
        <w:ind w:firstLine="600"/>
        <w:jc w:val="left"/>
        <w:rPr>
          <w:rFonts w:ascii="Times New Roman" w:hAnsi="Times New Roman" w:eastAsia="黑体" w:cs="黑体"/>
          <w:sz w:val="30"/>
          <w:szCs w:val="30"/>
          <w:highlight w:val="none"/>
          <w:lang w:val="zh-CN"/>
        </w:rPr>
      </w:pPr>
      <w:r>
        <w:rPr>
          <w:rFonts w:ascii="Times New Roman" w:hAnsi="Times New Roman" w:eastAsia="仿宋_GB2312" w:cs="仿宋_GB2312"/>
          <w:sz w:val="30"/>
          <w:szCs w:val="30"/>
          <w:highlight w:val="none"/>
        </w:rPr>
        <w:t>对附属单位补助支出</w:t>
      </w:r>
      <w:r>
        <w:rPr>
          <w:rFonts w:hint="eastAsia" w:ascii="Times New Roman" w:hAnsi="Times New Roman" w:eastAsia="仿宋_GB2312" w:cs="仿宋_GB2312"/>
          <w:sz w:val="30"/>
          <w:szCs w:val="30"/>
          <w:highlight w:val="none"/>
          <w:lang w:eastAsia="zh-CN"/>
        </w:rPr>
        <w:t>0.00元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占0.0%。</w:t>
      </w:r>
    </w:p>
    <w:p w14:paraId="308AF3A7">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四、财政拨款收支决算总体情况说明</w:t>
      </w:r>
    </w:p>
    <w:p w14:paraId="7352EC68">
      <w:pPr>
        <w:autoSpaceDE w:val="0"/>
        <w:autoSpaceDN w:val="0"/>
        <w:adjustRightInd w:val="0"/>
        <w:spacing w:line="580" w:lineRule="exact"/>
        <w:ind w:firstLine="600"/>
        <w:jc w:val="left"/>
        <w:rPr>
          <w:rFonts w:ascii="Times New Roman" w:hAnsi="Times New Roman" w:eastAsia="仿宋_GB2312" w:cs="仿宋_GB2312"/>
          <w:sz w:val="30"/>
          <w:szCs w:val="30"/>
          <w:highlight w:val="none"/>
        </w:rPr>
      </w:pPr>
      <w:r>
        <w:rPr>
          <w:rFonts w:hint="eastAsia" w:ascii="Times New Roman" w:hAnsi="Times New Roman" w:eastAsia="仿宋_GB2312" w:cs="仿宋_GB2312"/>
          <w:sz w:val="30"/>
          <w:szCs w:val="30"/>
          <w:highlight w:val="none"/>
          <w:lang w:eastAsia="zh-CN"/>
        </w:rPr>
        <w:t>天津市电子信息技师学院</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年度财政拨款收入、支出决算总计</w:t>
      </w:r>
      <w:r>
        <w:rPr>
          <w:rFonts w:hint="eastAsia" w:ascii="Times New Roman" w:hAnsi="Times New Roman" w:eastAsia="仿宋_GB2312" w:cs="Times New Roman"/>
          <w:sz w:val="30"/>
          <w:szCs w:val="30"/>
          <w:highlight w:val="none"/>
          <w:lang w:val="zh-CN"/>
        </w:rPr>
        <w:t>105,622,202.68</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年度相比，财政拨款收、支总计各</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仿宋_GB2312"/>
          <w:sz w:val="30"/>
          <w:szCs w:val="30"/>
          <w:highlight w:val="none"/>
          <w:lang w:eastAsia="zh-CN"/>
        </w:rPr>
        <w:t>73,838,296.09</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sz w:val="30"/>
          <w:szCs w:val="30"/>
          <w:highlight w:val="none"/>
          <w:lang w:val="en-US" w:eastAsia="zh-CN"/>
        </w:rPr>
        <w:t>下降</w:t>
      </w:r>
      <w:r>
        <w:rPr>
          <w:rFonts w:hint="eastAsia" w:ascii="Times New Roman" w:hAnsi="Times New Roman" w:eastAsia="仿宋_GB2312" w:cs="仿宋_GB2312"/>
          <w:sz w:val="30"/>
          <w:szCs w:val="30"/>
          <w:highlight w:val="none"/>
          <w:lang w:eastAsia="zh-CN"/>
        </w:rPr>
        <w:t>41.14</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val="zh-CN"/>
        </w:rPr>
        <w:t>主要原因是：</w:t>
      </w:r>
      <w:r>
        <w:rPr>
          <w:rFonts w:hint="eastAsia" w:ascii="Times New Roman" w:hAnsi="Times New Roman" w:eastAsia="仿宋_GB2312" w:cs="仿宋_GB2312"/>
          <w:sz w:val="30"/>
          <w:szCs w:val="30"/>
          <w:highlight w:val="none"/>
          <w:lang w:eastAsia="zh-CN"/>
        </w:rPr>
        <w:t>与2022年相比，2023年产业综合实训中心建设项目政府性基金预算财政拨款收入减少51555188.55元。2022年收到一般公共预算财政拨款教育强国项目资金29696825.77元。</w:t>
      </w:r>
    </w:p>
    <w:p w14:paraId="47CB1701">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五、一般公共预算财政拨款支出决算情况说明</w:t>
      </w:r>
    </w:p>
    <w:p w14:paraId="4A3DF340">
      <w:pPr>
        <w:autoSpaceDE w:val="0"/>
        <w:autoSpaceDN w:val="0"/>
        <w:adjustRightInd w:val="0"/>
        <w:spacing w:line="600" w:lineRule="exact"/>
        <w:ind w:left="480"/>
        <w:jc w:val="left"/>
        <w:rPr>
          <w:rFonts w:hint="eastAsia"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（一）总体情况</w:t>
      </w:r>
    </w:p>
    <w:p w14:paraId="0E3BF4CE">
      <w:pPr>
        <w:autoSpaceDE w:val="0"/>
        <w:autoSpaceDN w:val="0"/>
        <w:adjustRightInd w:val="0"/>
        <w:spacing w:line="600" w:lineRule="exact"/>
        <w:ind w:firstLine="72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天津市电子信息技师学院2023年度部门决算一般公共预算财政拨款支出</w:t>
      </w:r>
      <w:r>
        <w:rPr>
          <w:rFonts w:hint="eastAsia" w:ascii="Times New Roman" w:hAnsi="Times New Roman" w:eastAsia="仿宋_GB2312" w:cs="仿宋_GB2312"/>
          <w:sz w:val="30"/>
          <w:szCs w:val="30"/>
          <w:highlight w:val="none"/>
          <w:lang w:val="zh-CN" w:eastAsia="zh-CN"/>
        </w:rPr>
        <w:t>合</w:t>
      </w:r>
      <w:r>
        <w:rPr>
          <w:rFonts w:hint="eastAsia" w:ascii="Times New Roman" w:hAnsi="Times New Roman" w:eastAsia="仿宋_GB2312" w:cs="仿宋_GB2312"/>
          <w:sz w:val="30"/>
          <w:szCs w:val="30"/>
          <w:highlight w:val="none"/>
          <w:lang w:eastAsia="zh-CN"/>
        </w:rPr>
        <w:t>计85,080,018.23元，占本年支出合计的61.96%，与2022年度相比，一般公共预算财政拨款支出</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仿宋_GB2312"/>
          <w:sz w:val="30"/>
          <w:szCs w:val="30"/>
          <w:highlight w:val="none"/>
          <w:lang w:eastAsia="zh-CN"/>
        </w:rPr>
        <w:t>22,283,107.54元，</w:t>
      </w:r>
      <w:r>
        <w:rPr>
          <w:rFonts w:hint="eastAsia" w:ascii="Times New Roman" w:hAnsi="Times New Roman" w:eastAsia="仿宋_GB2312" w:cs="仿宋_GB2312"/>
          <w:sz w:val="30"/>
          <w:szCs w:val="30"/>
          <w:highlight w:val="none"/>
          <w:lang w:val="en-US" w:eastAsia="zh-CN"/>
        </w:rPr>
        <w:t>下降</w:t>
      </w:r>
      <w:r>
        <w:rPr>
          <w:rFonts w:hint="eastAsia" w:ascii="Times New Roman" w:hAnsi="Times New Roman" w:eastAsia="仿宋_GB2312" w:cs="仿宋_GB2312"/>
          <w:sz w:val="30"/>
          <w:szCs w:val="30"/>
          <w:highlight w:val="none"/>
          <w:lang w:eastAsia="zh-CN"/>
        </w:rPr>
        <w:t>20.75%，</w:t>
      </w:r>
      <w:r>
        <w:rPr>
          <w:rFonts w:hint="eastAsia" w:ascii="Times New Roman" w:hAnsi="Times New Roman" w:eastAsia="仿宋_GB2312" w:cs="仿宋_GB2312"/>
          <w:sz w:val="30"/>
          <w:szCs w:val="30"/>
          <w:highlight w:val="none"/>
          <w:lang w:val="zh-CN" w:eastAsia="zh-CN"/>
        </w:rPr>
        <w:t>主要原因是</w:t>
      </w:r>
      <w:r>
        <w:rPr>
          <w:rFonts w:hint="eastAsia" w:ascii="Times New Roman" w:hAnsi="Times New Roman" w:eastAsia="仿宋_GB2312" w:cs="仿宋_GB2312"/>
          <w:sz w:val="30"/>
          <w:szCs w:val="30"/>
          <w:highlight w:val="none"/>
          <w:lang w:eastAsia="zh-CN"/>
        </w:rPr>
        <w:t>：2022年收到一般公共预算财政拨款教育强国项目资金29696825.77元。</w:t>
      </w:r>
    </w:p>
    <w:p w14:paraId="34912434">
      <w:pPr>
        <w:autoSpaceDE w:val="0"/>
        <w:autoSpaceDN w:val="0"/>
        <w:adjustRightInd w:val="0"/>
        <w:spacing w:line="600" w:lineRule="exact"/>
        <w:ind w:left="480"/>
        <w:jc w:val="left"/>
        <w:rPr>
          <w:rFonts w:hint="eastAsia"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（二）</w:t>
      </w:r>
      <w:r>
        <w:rPr>
          <w:rFonts w:hint="eastAsia" w:ascii="Times New Roman" w:hAnsi="Times New Roman" w:eastAsia="楷体" w:cs="楷体"/>
          <w:b/>
          <w:bCs/>
          <w:kern w:val="0"/>
          <w:sz w:val="30"/>
          <w:szCs w:val="30"/>
          <w:highlight w:val="none"/>
          <w:lang w:val="zh-CN"/>
        </w:rPr>
        <w:t>支出结构</w:t>
      </w:r>
      <w:r>
        <w:rPr>
          <w:rFonts w:hint="eastAsia" w:ascii="Times New Roman" w:hAnsi="Times New Roman" w:eastAsia="楷体" w:cs="楷体"/>
          <w:b/>
          <w:bCs/>
          <w:kern w:val="0"/>
          <w:sz w:val="30"/>
          <w:szCs w:val="30"/>
          <w:highlight w:val="none"/>
        </w:rPr>
        <w:t>情况</w:t>
      </w:r>
    </w:p>
    <w:p w14:paraId="1087D5B9">
      <w:pPr>
        <w:autoSpaceDE w:val="0"/>
        <w:autoSpaceDN w:val="0"/>
        <w:adjustRightInd w:val="0"/>
        <w:spacing w:line="600" w:lineRule="exact"/>
        <w:ind w:firstLine="72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2023</w:t>
      </w:r>
      <w:r>
        <w:rPr>
          <w:rFonts w:hint="eastAsia" w:ascii="Times New Roman" w:hAnsi="Times New Roman" w:eastAsia="仿宋_GB2312" w:cs="仿宋_GB2312"/>
          <w:sz w:val="30"/>
          <w:szCs w:val="30"/>
          <w:highlight w:val="none"/>
        </w:rPr>
        <w:t>年度一般公共预算财政拨款支出</w:t>
      </w:r>
      <w:r>
        <w:rPr>
          <w:rFonts w:hint="eastAsia" w:ascii="Times New Roman" w:hAnsi="Times New Roman" w:eastAsia="仿宋_GB2312" w:cs="Times New Roman"/>
          <w:sz w:val="30"/>
          <w:szCs w:val="30"/>
          <w:highlight w:val="none"/>
          <w:lang w:eastAsia="zh-CN"/>
        </w:rPr>
        <w:t>85,080,018.23</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rPr>
        <w:t>主要用于以下方面：</w:t>
      </w:r>
      <w:r>
        <w:rPr>
          <w:rFonts w:hint="eastAsia" w:ascii="Times New Roman" w:hAnsi="Times New Roman" w:eastAsia="仿宋_GB2312" w:cs="仿宋_GB2312"/>
          <w:sz w:val="30"/>
          <w:szCs w:val="30"/>
          <w:highlight w:val="none"/>
          <w:lang w:eastAsia="zh-CN"/>
        </w:rPr>
        <w:t>教育（类）支出77985018.23元，占91.66%，社会保障和就业（类）支出4316000元，占5.07%，卫生健康（类）支出2779000元，占3.27%。</w:t>
      </w:r>
    </w:p>
    <w:p w14:paraId="0B3F0CC9">
      <w:pPr>
        <w:autoSpaceDE w:val="0"/>
        <w:autoSpaceDN w:val="0"/>
        <w:adjustRightInd w:val="0"/>
        <w:spacing w:line="600" w:lineRule="exact"/>
        <w:ind w:left="480"/>
        <w:jc w:val="left"/>
        <w:rPr>
          <w:rFonts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（三）具体情况</w:t>
      </w:r>
    </w:p>
    <w:p w14:paraId="5CC1B9B9">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lang w:eastAsia="zh-CN"/>
        </w:rPr>
        <w:t>2023</w:t>
      </w:r>
      <w:r>
        <w:rPr>
          <w:rFonts w:hint="eastAsia" w:ascii="Times New Roman" w:hAnsi="Times New Roman" w:eastAsia="仿宋_GB2312" w:cs="仿宋_GB2312"/>
          <w:kern w:val="0"/>
          <w:sz w:val="30"/>
          <w:szCs w:val="30"/>
          <w:highlight w:val="none"/>
        </w:rPr>
        <w:t>年度一般公共预算财政拨款支出年初预算为</w:t>
      </w:r>
      <w:r>
        <w:rPr>
          <w:rFonts w:hint="eastAsia" w:ascii="Times New Roman" w:hAnsi="Times New Roman" w:eastAsia="仿宋_GB2312" w:cs="Times New Roman"/>
          <w:sz w:val="30"/>
          <w:szCs w:val="30"/>
          <w:highlight w:val="none"/>
          <w:lang w:eastAsia="zh-CN"/>
        </w:rPr>
        <w:t>81,597,000.00</w:t>
      </w:r>
      <w:r>
        <w:rPr>
          <w:rFonts w:hint="eastAsia" w:ascii="Times New Roman" w:hAnsi="Times New Roman" w:eastAsia="仿宋_GB2312" w:cs="仿宋_GB2312"/>
          <w:kern w:val="0"/>
          <w:sz w:val="30"/>
          <w:szCs w:val="30"/>
          <w:highlight w:val="none"/>
        </w:rPr>
        <w:t>元，支出决算为</w:t>
      </w:r>
      <w:r>
        <w:rPr>
          <w:rFonts w:hint="eastAsia" w:ascii="Times New Roman" w:hAnsi="Times New Roman" w:eastAsia="仿宋_GB2312" w:cs="Times New Roman"/>
          <w:sz w:val="30"/>
          <w:szCs w:val="30"/>
          <w:highlight w:val="none"/>
          <w:lang w:eastAsia="zh-CN"/>
        </w:rPr>
        <w:t>85,080,018.23</w:t>
      </w:r>
      <w:r>
        <w:rPr>
          <w:rFonts w:hint="eastAsia" w:ascii="Times New Roman" w:hAnsi="Times New Roman" w:eastAsia="仿宋_GB2312" w:cs="仿宋_GB2312"/>
          <w:kern w:val="0"/>
          <w:sz w:val="30"/>
          <w:szCs w:val="30"/>
          <w:highlight w:val="none"/>
        </w:rPr>
        <w:t>元，完成年初预算的</w:t>
      </w:r>
      <w:r>
        <w:rPr>
          <w:rFonts w:hint="eastAsia" w:ascii="Times New Roman" w:hAnsi="Times New Roman" w:eastAsia="仿宋_GB2312" w:cs="Times New Roman"/>
          <w:sz w:val="30"/>
          <w:szCs w:val="30"/>
          <w:highlight w:val="none"/>
          <w:lang w:eastAsia="zh-CN"/>
        </w:rPr>
        <w:t>104.27%</w:t>
      </w:r>
      <w:r>
        <w:rPr>
          <w:rFonts w:hint="eastAsia" w:ascii="Times New Roman" w:hAnsi="Times New Roman" w:eastAsia="仿宋_GB2312" w:cs="仿宋_GB2312"/>
          <w:kern w:val="0"/>
          <w:sz w:val="30"/>
          <w:szCs w:val="30"/>
          <w:highlight w:val="none"/>
        </w:rPr>
        <w:t>。其中：</w:t>
      </w:r>
    </w:p>
    <w:p w14:paraId="41683A0B">
      <w:pPr>
        <w:autoSpaceDE w:val="0"/>
        <w:autoSpaceDN w:val="0"/>
        <w:adjustRightInd w:val="0"/>
        <w:spacing w:line="600" w:lineRule="exact"/>
        <w:ind w:firstLine="720"/>
        <w:jc w:val="left"/>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sz w:val="30"/>
          <w:szCs w:val="30"/>
          <w:highlight w:val="none"/>
          <w:lang w:eastAsia="zh-CN"/>
        </w:rPr>
        <w:t>1.教育支出（类）职业教育（款）技校教育（项）年初预算为74502000元，支出决算为77985018.23元，完成年初预算的104.68%，决算数大于年初预算数的主要原因是年中调整预算增加“2023年现代职业教育质量提升计划”、“学生资助补助经费”、“市属中职学校专职思政教师岗位”、“产业综合实训中心及配套设施工程”等项目资金3483018.23元。</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2.社会保障和就业支出（类）行政事业单位养老支出（款）机关事业单位基本养老保险缴费支出（项）年初预算为2877000元，支出决算为2877000元，完成年初预算的100%，决算数等于年初预算数。</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3.社会保障和就业支出（类）行政事业单位养老支出（款）机关事业单位职业年金缴费支出（项）年初预算为1439000元，支出决算为1439000元，完成年初预算的100%，决算数等于年初预算数。</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4.卫生健康支出（类）行政事业单位医疗（款）事业单位医疗（项）年初预算为1888000元，支出决算为1888000元，完成年初预算的100%，决算数等于年初预算数。</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5.卫生健康支出（类）行政事业单位医疗（款）其他行政事业单位医疗支出（项）年初预算为891000元，支出决算为891,000元，完成年初预算的100%，决算数等于年初预算数。</w:t>
      </w:r>
    </w:p>
    <w:p w14:paraId="1AB5DFA8">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六、一般公共预算财政拨款基本支出决算情况说明</w:t>
      </w:r>
    </w:p>
    <w:p w14:paraId="32B1C95C">
      <w:pPr>
        <w:autoSpaceDE w:val="0"/>
        <w:autoSpaceDN w:val="0"/>
        <w:adjustRightInd w:val="0"/>
        <w:spacing w:line="600" w:lineRule="exact"/>
        <w:ind w:firstLine="72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天津市电子信息技师学院</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年度部门决算一般公共预算财政拨款基本支出合计</w:t>
      </w:r>
      <w:r>
        <w:rPr>
          <w:rFonts w:hint="eastAsia" w:ascii="Times New Roman" w:hAnsi="Times New Roman" w:eastAsia="仿宋_GB2312" w:cs="Times New Roman"/>
          <w:sz w:val="30"/>
          <w:szCs w:val="30"/>
          <w:highlight w:val="none"/>
          <w:lang w:eastAsia="zh-CN"/>
        </w:rPr>
        <w:t>74,072,094.00</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sz w:val="30"/>
          <w:szCs w:val="30"/>
          <w:highlight w:val="none"/>
          <w:lang w:eastAsia="zh-CN"/>
        </w:rPr>
        <w:t>3,631,094.00</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rPr>
        <w:t>主要原因是</w:t>
      </w:r>
      <w:r>
        <w:rPr>
          <w:rFonts w:hint="eastAsia" w:ascii="Times New Roman" w:hAnsi="Times New Roman" w:eastAsia="楷体_GB2312" w:cs="楷体_GB2312"/>
          <w:sz w:val="30"/>
          <w:szCs w:val="30"/>
          <w:highlight w:val="none"/>
        </w:rPr>
        <w:t>：</w:t>
      </w:r>
      <w:r>
        <w:rPr>
          <w:rFonts w:hint="eastAsia" w:ascii="Times New Roman" w:hAnsi="Times New Roman" w:eastAsia="仿宋_GB2312" w:cs="仿宋_GB2312"/>
          <w:sz w:val="30"/>
          <w:szCs w:val="30"/>
          <w:highlight w:val="none"/>
          <w:lang w:eastAsia="zh-CN"/>
        </w:rPr>
        <w:t>2023年学生增加，生均拨款增加。</w:t>
      </w:r>
      <w:r>
        <w:rPr>
          <w:rFonts w:hint="eastAsia" w:ascii="Times New Roman" w:hAnsi="Times New Roman" w:eastAsia="仿宋_GB2312" w:cs="仿宋_GB2312"/>
          <w:kern w:val="0"/>
          <w:sz w:val="30"/>
          <w:szCs w:val="30"/>
          <w:highlight w:val="none"/>
        </w:rPr>
        <w:t>其中：</w:t>
      </w:r>
    </w:p>
    <w:p w14:paraId="36E3B1BF">
      <w:pPr>
        <w:autoSpaceDE w:val="0"/>
        <w:autoSpaceDN w:val="0"/>
        <w:adjustRightInd w:val="0"/>
        <w:spacing w:line="600" w:lineRule="exact"/>
        <w:ind w:firstLine="720"/>
        <w:jc w:val="left"/>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kern w:val="0"/>
          <w:sz w:val="30"/>
          <w:szCs w:val="30"/>
          <w:highlight w:val="none"/>
        </w:rPr>
        <w:t>人员经费</w:t>
      </w:r>
      <w:r>
        <w:rPr>
          <w:rFonts w:hint="eastAsia" w:ascii="Times New Roman" w:hAnsi="Times New Roman" w:eastAsia="仿宋_GB2312" w:cs="Times New Roman"/>
          <w:sz w:val="30"/>
          <w:szCs w:val="30"/>
          <w:highlight w:val="none"/>
          <w:lang w:eastAsia="zh-CN"/>
        </w:rPr>
        <w:t>61,515,094.00</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kern w:val="2"/>
          <w:sz w:val="30"/>
          <w:szCs w:val="30"/>
          <w:highlight w:val="none"/>
        </w:rPr>
        <w:t>主要包括</w:t>
      </w:r>
      <w:r>
        <w:rPr>
          <w:rFonts w:hint="eastAsia" w:ascii="Times New Roman" w:hAnsi="Times New Roman" w:eastAsia="仿宋_GB2312" w:cs="仿宋_GB2312"/>
          <w:sz w:val="30"/>
          <w:szCs w:val="30"/>
          <w:highlight w:val="none"/>
          <w:lang w:eastAsia="zh-CN"/>
        </w:rPr>
        <w:t>基本工资、津贴补贴、绩效工资、机关事业单位基本养老保险缴费、职业年金缴费、职工基本医疗保险缴费、其他社会保障缴费、住房公积金、医疗费、退休费、医疗费补助。</w:t>
      </w:r>
    </w:p>
    <w:p w14:paraId="11819C43">
      <w:pPr>
        <w:autoSpaceDE w:val="0"/>
        <w:autoSpaceDN w:val="0"/>
        <w:adjustRightInd w:val="0"/>
        <w:spacing w:line="600" w:lineRule="exact"/>
        <w:ind w:firstLine="720"/>
        <w:jc w:val="left"/>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kern w:val="0"/>
          <w:sz w:val="30"/>
          <w:szCs w:val="30"/>
          <w:highlight w:val="none"/>
        </w:rPr>
        <w:t>公用经费</w:t>
      </w:r>
      <w:r>
        <w:rPr>
          <w:rFonts w:hint="eastAsia" w:ascii="Times New Roman" w:hAnsi="Times New Roman" w:eastAsia="仿宋_GB2312" w:cs="Times New Roman"/>
          <w:sz w:val="30"/>
          <w:szCs w:val="30"/>
          <w:highlight w:val="none"/>
          <w:lang w:eastAsia="zh-CN"/>
        </w:rPr>
        <w:t>12,557,000.00</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eastAsia="zh-CN"/>
        </w:rPr>
        <w:t>主要包括办公费、印刷费、咨询费、水费、电费、取暖费、物业管理费、差旅费、维修(护)费、会议费、培训费、专用材料费、劳务费、工会经费、公务用车运行维护费、其他交通费用、专用设备购置。</w:t>
      </w:r>
    </w:p>
    <w:p w14:paraId="18600A37">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七、政府性基金预算财政拨款收支决算情况</w:t>
      </w:r>
    </w:p>
    <w:p w14:paraId="6DB47EC5">
      <w:pPr>
        <w:autoSpaceDE w:val="0"/>
        <w:autoSpaceDN w:val="0"/>
        <w:adjustRightInd w:val="0"/>
        <w:spacing w:line="580" w:lineRule="exact"/>
        <w:ind w:firstLine="600"/>
        <w:jc w:val="left"/>
        <w:rPr>
          <w:rFonts w:hint="default" w:ascii="Times New Roman" w:hAnsi="Times New Roman" w:eastAsia="楷体" w:cs="楷体"/>
          <w:kern w:val="0"/>
          <w:sz w:val="30"/>
          <w:szCs w:val="30"/>
          <w:highlight w:val="none"/>
          <w:lang w:val="en-US"/>
        </w:rPr>
      </w:pPr>
      <w:r>
        <w:rPr>
          <w:rFonts w:hint="eastAsia" w:ascii="Times New Roman" w:hAnsi="Times New Roman" w:eastAsia="仿宋_GB2312" w:cs="仿宋_GB2312"/>
          <w:sz w:val="30"/>
          <w:szCs w:val="30"/>
          <w:highlight w:val="none"/>
          <w:lang w:eastAsia="zh-CN"/>
        </w:rPr>
        <w:t>天津市电子信息技师学院</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年度部门决算政府性基金预算财政拨款</w:t>
      </w:r>
      <w:r>
        <w:rPr>
          <w:rFonts w:hint="eastAsia" w:ascii="Times New Roman" w:hAnsi="Times New Roman" w:eastAsia="仿宋_GB2312" w:cs="仿宋_GB2312"/>
          <w:kern w:val="0"/>
          <w:sz w:val="30"/>
          <w:szCs w:val="30"/>
          <w:highlight w:val="none"/>
        </w:rPr>
        <w:t>年初结转和结余</w:t>
      </w:r>
      <w:r>
        <w:rPr>
          <w:rFonts w:hint="eastAsia" w:ascii="Times New Roman" w:hAnsi="Times New Roman" w:eastAsia="仿宋_GB2312" w:cs="Times New Roman"/>
          <w:sz w:val="30"/>
          <w:szCs w:val="30"/>
          <w:highlight w:val="none"/>
          <w:lang w:eastAsia="zh-CN"/>
        </w:rPr>
        <w:t>0.00</w:t>
      </w:r>
      <w:r>
        <w:rPr>
          <w:rFonts w:hint="eastAsia" w:ascii="Times New Roman" w:hAnsi="Times New Roman" w:eastAsia="仿宋_GB2312" w:cs="仿宋_GB2312"/>
          <w:kern w:val="0"/>
          <w:sz w:val="30"/>
          <w:szCs w:val="30"/>
          <w:highlight w:val="none"/>
        </w:rPr>
        <w:t>元，收入</w:t>
      </w:r>
      <w:r>
        <w:rPr>
          <w:rFonts w:hint="eastAsia" w:ascii="Times New Roman" w:hAnsi="Times New Roman" w:eastAsia="仿宋_GB2312" w:cs="Times New Roman"/>
          <w:sz w:val="30"/>
          <w:szCs w:val="30"/>
          <w:highlight w:val="none"/>
          <w:lang w:eastAsia="zh-CN"/>
        </w:rPr>
        <w:t>20,542,184.45</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rPr>
        <w:t>支出</w:t>
      </w:r>
      <w:r>
        <w:rPr>
          <w:rFonts w:hint="eastAsia" w:ascii="Times New Roman" w:hAnsi="Times New Roman" w:eastAsia="仿宋_GB2312" w:cs="Times New Roman"/>
          <w:sz w:val="30"/>
          <w:szCs w:val="30"/>
          <w:highlight w:val="none"/>
          <w:lang w:eastAsia="zh-CN"/>
        </w:rPr>
        <w:t>20,542,184.45</w:t>
      </w:r>
      <w:r>
        <w:rPr>
          <w:rFonts w:hint="eastAsia" w:ascii="Times New Roman" w:hAnsi="Times New Roman" w:eastAsia="仿宋_GB2312" w:cs="仿宋_GB2312"/>
          <w:sz w:val="30"/>
          <w:szCs w:val="30"/>
          <w:highlight w:val="none"/>
        </w:rPr>
        <w:t>元，年末结转和结余</w:t>
      </w:r>
      <w:r>
        <w:rPr>
          <w:rFonts w:hint="eastAsia" w:ascii="Times New Roman" w:hAnsi="Times New Roman" w:eastAsia="仿宋_GB2312" w:cs="Times New Roman"/>
          <w:sz w:val="30"/>
          <w:szCs w:val="30"/>
          <w:highlight w:val="none"/>
          <w:lang w:eastAsia="zh-CN"/>
        </w:rPr>
        <w:t>0.00</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年度相比，政府性基金财政拨款支出</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仿宋_GB2312"/>
          <w:sz w:val="30"/>
          <w:szCs w:val="30"/>
          <w:highlight w:val="none"/>
          <w:lang w:eastAsia="zh-CN"/>
        </w:rPr>
        <w:t>51,555,188.55</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sz w:val="30"/>
          <w:szCs w:val="30"/>
          <w:highlight w:val="none"/>
          <w:lang w:val="en-US" w:eastAsia="zh-CN"/>
        </w:rPr>
        <w:t>下降</w:t>
      </w:r>
      <w:r>
        <w:rPr>
          <w:rFonts w:hint="eastAsia" w:ascii="Times New Roman" w:hAnsi="Times New Roman" w:eastAsia="仿宋_GB2312" w:cs="仿宋_GB2312"/>
          <w:sz w:val="30"/>
          <w:szCs w:val="30"/>
          <w:highlight w:val="none"/>
          <w:lang w:eastAsia="zh-CN"/>
        </w:rPr>
        <w:t>71.51%</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kern w:val="0"/>
          <w:sz w:val="30"/>
          <w:szCs w:val="30"/>
          <w:highlight w:val="none"/>
        </w:rPr>
        <w:t>主要原因是</w:t>
      </w:r>
      <w:r>
        <w:rPr>
          <w:rFonts w:hint="eastAsia" w:ascii="Times New Roman" w:hAnsi="Times New Roman" w:eastAsia="楷体_GB2312" w:cs="楷体_GB2312"/>
          <w:sz w:val="30"/>
          <w:szCs w:val="30"/>
          <w:highlight w:val="none"/>
          <w:lang w:val="zh-CN"/>
        </w:rPr>
        <w:t>：</w:t>
      </w:r>
      <w:r>
        <w:rPr>
          <w:rFonts w:hint="eastAsia" w:ascii="Times New Roman" w:hAnsi="Times New Roman" w:eastAsia="仿宋_GB2312" w:cs="仿宋_GB2312"/>
          <w:sz w:val="30"/>
          <w:szCs w:val="30"/>
          <w:highlight w:val="none"/>
          <w:lang w:eastAsia="zh-CN"/>
        </w:rPr>
        <w:t>与2022年相比，2023年产业综合实训中心建设项目政府性基金预算财政拨款收入减少51555188.55元。</w:t>
      </w:r>
    </w:p>
    <w:p w14:paraId="11EF81FC">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八、国有资本经营预算财政拨款收支决算情况说明</w:t>
      </w:r>
    </w:p>
    <w:p w14:paraId="1922415F">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color w:val="000000"/>
          <w:kern w:val="0"/>
          <w:sz w:val="30"/>
          <w:szCs w:val="30"/>
          <w:highlight w:val="none"/>
          <w:lang w:eastAsia="zh-CN"/>
        </w:rPr>
        <w:t>天津市电子信息技师学院</w:t>
      </w:r>
      <w:r>
        <w:rPr>
          <w:rFonts w:hint="eastAsia" w:ascii="Times New Roman" w:hAnsi="Times New Roman" w:eastAsia="宋体" w:cs="宋体"/>
          <w:color w:val="000000"/>
          <w:kern w:val="0"/>
          <w:sz w:val="30"/>
          <w:szCs w:val="30"/>
          <w:highlight w:val="none"/>
          <w:lang w:eastAsia="zh-CN"/>
        </w:rPr>
        <w:t>2023</w:t>
      </w:r>
      <w:r>
        <w:rPr>
          <w:rFonts w:hint="eastAsia" w:ascii="Times New Roman" w:hAnsi="Times New Roman" w:eastAsia="仿宋_GB2312" w:cs="仿宋_GB2312"/>
          <w:kern w:val="0"/>
          <w:sz w:val="30"/>
          <w:szCs w:val="30"/>
          <w:highlight w:val="none"/>
        </w:rPr>
        <w:t>年度部门决算国有资本经营预算财政拨款年初结转和结余</w:t>
      </w:r>
      <w:r>
        <w:rPr>
          <w:rFonts w:hint="eastAsia" w:ascii="Times New Roman" w:hAnsi="Times New Roman" w:eastAsia="仿宋_GB2312" w:cs="Times New Roman"/>
          <w:sz w:val="30"/>
          <w:szCs w:val="30"/>
          <w:highlight w:val="none"/>
          <w:lang w:eastAsia="zh-CN"/>
        </w:rPr>
        <w:t>0.00</w:t>
      </w:r>
      <w:r>
        <w:rPr>
          <w:rFonts w:hint="eastAsia" w:ascii="Times New Roman" w:hAnsi="Times New Roman" w:eastAsia="仿宋_GB2312" w:cs="仿宋_GB2312"/>
          <w:kern w:val="0"/>
          <w:sz w:val="30"/>
          <w:szCs w:val="30"/>
          <w:highlight w:val="none"/>
        </w:rPr>
        <w:t>元，收入</w:t>
      </w:r>
      <w:r>
        <w:rPr>
          <w:rFonts w:hint="eastAsia" w:ascii="Times New Roman" w:hAnsi="Times New Roman" w:eastAsia="仿宋_GB2312" w:cs="Times New Roman"/>
          <w:sz w:val="30"/>
          <w:szCs w:val="30"/>
          <w:highlight w:val="none"/>
          <w:lang w:eastAsia="zh-CN"/>
        </w:rPr>
        <w:t>0.00</w:t>
      </w:r>
      <w:r>
        <w:rPr>
          <w:rFonts w:hint="eastAsia" w:ascii="Times New Roman" w:hAnsi="Times New Roman" w:eastAsia="仿宋_GB2312" w:cs="仿宋_GB2312"/>
          <w:kern w:val="0"/>
          <w:sz w:val="30"/>
          <w:szCs w:val="30"/>
          <w:highlight w:val="none"/>
        </w:rPr>
        <w:t>元，支出</w:t>
      </w:r>
      <w:r>
        <w:rPr>
          <w:rFonts w:hint="eastAsia" w:ascii="Times New Roman" w:hAnsi="Times New Roman" w:eastAsia="仿宋_GB2312" w:cs="Times New Roman"/>
          <w:sz w:val="30"/>
          <w:szCs w:val="30"/>
          <w:highlight w:val="none"/>
          <w:lang w:eastAsia="zh-CN"/>
        </w:rPr>
        <w:t>0.00</w:t>
      </w:r>
      <w:r>
        <w:rPr>
          <w:rFonts w:hint="eastAsia" w:ascii="Times New Roman" w:hAnsi="Times New Roman" w:eastAsia="仿宋_GB2312" w:cs="仿宋_GB2312"/>
          <w:kern w:val="0"/>
          <w:sz w:val="30"/>
          <w:szCs w:val="30"/>
          <w:highlight w:val="none"/>
        </w:rPr>
        <w:t>元，年末结余和结余</w:t>
      </w:r>
      <w:r>
        <w:rPr>
          <w:rFonts w:hint="eastAsia" w:ascii="Times New Roman" w:hAnsi="Times New Roman" w:eastAsia="仿宋_GB2312" w:cs="Times New Roman"/>
          <w:sz w:val="30"/>
          <w:szCs w:val="30"/>
          <w:highlight w:val="none"/>
          <w:lang w:eastAsia="zh-CN"/>
        </w:rPr>
        <w:t>0.00</w:t>
      </w:r>
      <w:r>
        <w:rPr>
          <w:rFonts w:hint="eastAsia" w:ascii="Times New Roman" w:hAnsi="Times New Roman" w:eastAsia="仿宋_GB2312" w:cs="仿宋_GB2312"/>
          <w:kern w:val="0"/>
          <w:sz w:val="30"/>
          <w:szCs w:val="30"/>
          <w:highlight w:val="none"/>
        </w:rPr>
        <w:t>元。与</w:t>
      </w:r>
      <w:r>
        <w:rPr>
          <w:rFonts w:hint="eastAsia" w:ascii="Times New Roman" w:hAnsi="Times New Roman" w:eastAsia="仿宋_GB2312" w:cs="仿宋_GB2312"/>
          <w:kern w:val="0"/>
          <w:sz w:val="30"/>
          <w:szCs w:val="30"/>
          <w:highlight w:val="none"/>
          <w:lang w:eastAsia="zh-CN"/>
        </w:rPr>
        <w:t>2022</w:t>
      </w:r>
      <w:r>
        <w:rPr>
          <w:rFonts w:hint="eastAsia" w:ascii="Times New Roman" w:hAnsi="Times New Roman" w:eastAsia="仿宋_GB2312" w:cs="仿宋_GB2312"/>
          <w:kern w:val="0"/>
          <w:sz w:val="30"/>
          <w:szCs w:val="30"/>
          <w:highlight w:val="none"/>
        </w:rPr>
        <w:t>年度相比，国有资本经营预算财政拨款支出</w:t>
      </w:r>
      <w:r>
        <w:rPr>
          <w:rFonts w:hint="eastAsia" w:ascii="Times New Roman" w:hAnsi="Times New Roman" w:eastAsia="仿宋_GB2312" w:cs="仿宋_GB2312"/>
          <w:kern w:val="0"/>
          <w:sz w:val="30"/>
          <w:szCs w:val="30"/>
          <w:highlight w:val="none"/>
          <w:lang w:val="en-US" w:eastAsia="zh-CN"/>
        </w:rPr>
        <w:t>持平</w:t>
      </w:r>
      <w:r>
        <w:rPr>
          <w:rFonts w:hint="eastAsia" w:ascii="Times New Roman" w:hAnsi="Times New Roman" w:eastAsia="仿宋_GB2312" w:cs="仿宋_GB2312"/>
          <w:kern w:val="0"/>
          <w:sz w:val="30"/>
          <w:szCs w:val="30"/>
          <w:highlight w:val="none"/>
          <w:lang w:eastAsia="zh-CN"/>
        </w:rPr>
        <w:t>0.00</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kern w:val="0"/>
          <w:sz w:val="30"/>
          <w:szCs w:val="30"/>
          <w:highlight w:val="none"/>
          <w:lang w:val="en-US" w:eastAsia="zh-CN"/>
        </w:rPr>
        <w:t>持平</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仿宋_GB2312"/>
          <w:sz w:val="30"/>
          <w:szCs w:val="30"/>
          <w:highlight w:val="none"/>
          <w:lang w:eastAsia="zh-CN"/>
        </w:rPr>
        <w:t>%</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kern w:val="0"/>
          <w:sz w:val="30"/>
          <w:szCs w:val="30"/>
          <w:highlight w:val="none"/>
        </w:rPr>
        <w:t>主要原因是</w:t>
      </w:r>
      <w:r>
        <w:rPr>
          <w:rFonts w:hint="eastAsia" w:ascii="Times New Roman" w:hAnsi="Times New Roman" w:eastAsia="楷体_GB2312" w:cs="楷体_GB2312"/>
          <w:sz w:val="30"/>
          <w:szCs w:val="30"/>
          <w:highlight w:val="none"/>
          <w:lang w:val="zh-CN"/>
        </w:rPr>
        <w:t>：</w:t>
      </w:r>
    </w:p>
    <w:p w14:paraId="19E24E52">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天津市电子信息技师学院2023年度无国有资本经营预算财政拨款收入、支出和结转结余。</w:t>
      </w:r>
    </w:p>
    <w:p w14:paraId="2C6D2ABB">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九、财政拨款</w:t>
      </w:r>
      <w:r>
        <w:rPr>
          <w:rFonts w:ascii="Times New Roman" w:hAnsi="Times New Roman" w:eastAsia="黑体" w:cs="黑体"/>
          <w:b/>
          <w:bCs/>
          <w:kern w:val="0"/>
          <w:sz w:val="30"/>
          <w:szCs w:val="30"/>
          <w:highlight w:val="none"/>
        </w:rPr>
        <w:t>“</w:t>
      </w:r>
      <w:r>
        <w:rPr>
          <w:rFonts w:hint="eastAsia" w:ascii="Times New Roman" w:hAnsi="Times New Roman" w:eastAsia="黑体" w:cs="黑体"/>
          <w:b/>
          <w:bCs/>
          <w:kern w:val="0"/>
          <w:sz w:val="30"/>
          <w:szCs w:val="30"/>
          <w:highlight w:val="none"/>
        </w:rPr>
        <w:t>三公</w:t>
      </w:r>
      <w:r>
        <w:rPr>
          <w:rFonts w:ascii="Times New Roman" w:hAnsi="Times New Roman" w:eastAsia="黑体" w:cs="黑体"/>
          <w:b/>
          <w:bCs/>
          <w:kern w:val="0"/>
          <w:sz w:val="30"/>
          <w:szCs w:val="30"/>
          <w:highlight w:val="none"/>
        </w:rPr>
        <w:t>”</w:t>
      </w:r>
      <w:r>
        <w:rPr>
          <w:rFonts w:hint="eastAsia" w:ascii="Times New Roman" w:hAnsi="Times New Roman" w:eastAsia="黑体" w:cs="黑体"/>
          <w:b/>
          <w:bCs/>
          <w:kern w:val="0"/>
          <w:sz w:val="30"/>
          <w:szCs w:val="30"/>
          <w:highlight w:val="none"/>
        </w:rPr>
        <w:t>经费</w:t>
      </w:r>
      <w:r>
        <w:rPr>
          <w:rFonts w:hint="eastAsia" w:ascii="Times New Roman" w:hAnsi="Times New Roman" w:eastAsia="黑体" w:cs="黑体"/>
          <w:b/>
          <w:bCs/>
          <w:kern w:val="0"/>
          <w:sz w:val="30"/>
          <w:szCs w:val="30"/>
          <w:highlight w:val="none"/>
          <w:lang w:val="zh-CN"/>
        </w:rPr>
        <w:t>支出决算</w:t>
      </w:r>
      <w:r>
        <w:rPr>
          <w:rFonts w:hint="eastAsia" w:ascii="Times New Roman" w:hAnsi="Times New Roman" w:eastAsia="黑体" w:cs="黑体"/>
          <w:b/>
          <w:bCs/>
          <w:kern w:val="0"/>
          <w:sz w:val="30"/>
          <w:szCs w:val="30"/>
          <w:highlight w:val="none"/>
        </w:rPr>
        <w:t>情况</w:t>
      </w:r>
    </w:p>
    <w:p w14:paraId="3E7A90CA">
      <w:pPr>
        <w:autoSpaceDE w:val="0"/>
        <w:autoSpaceDN w:val="0"/>
        <w:adjustRightInd w:val="0"/>
        <w:spacing w:line="600" w:lineRule="exact"/>
        <w:ind w:firstLine="602"/>
        <w:jc w:val="left"/>
        <w:rPr>
          <w:rFonts w:hint="default" w:ascii="Times New Roman" w:hAnsi="Times New Roman" w:eastAsia="楷体" w:cs="楷体"/>
          <w:b/>
          <w:bCs/>
          <w:kern w:val="0"/>
          <w:sz w:val="30"/>
          <w:szCs w:val="30"/>
          <w:highlight w:val="none"/>
          <w:lang w:val="en-US" w:eastAsia="zh-CN"/>
        </w:rPr>
      </w:pPr>
      <w:r>
        <w:rPr>
          <w:rFonts w:hint="eastAsia" w:ascii="Times New Roman" w:hAnsi="Times New Roman" w:eastAsia="楷体" w:cs="楷体"/>
          <w:b/>
          <w:bCs/>
          <w:kern w:val="0"/>
          <w:sz w:val="30"/>
          <w:szCs w:val="30"/>
          <w:highlight w:val="none"/>
        </w:rPr>
        <w:t>（一）总体情况</w:t>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p>
    <w:p w14:paraId="06558301">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经费预算</w:t>
      </w:r>
      <w:r>
        <w:rPr>
          <w:rFonts w:hint="eastAsia" w:ascii="Times New Roman" w:hAnsi="Times New Roman" w:eastAsia="仿宋_GB2312" w:cs="Times New Roman"/>
          <w:kern w:val="0"/>
          <w:sz w:val="30"/>
          <w:szCs w:val="30"/>
          <w:highlight w:val="none"/>
          <w:lang w:eastAsia="zh-CN"/>
        </w:rPr>
        <w:t>44,000.00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10,070.76</w:t>
      </w:r>
      <w:r>
        <w:rPr>
          <w:rFonts w:hint="eastAsia" w:ascii="Times New Roman" w:hAnsi="Times New Roman" w:eastAsia="仿宋_GB2312" w:cs="仿宋_GB2312"/>
          <w:kern w:val="0"/>
          <w:sz w:val="30"/>
          <w:szCs w:val="30"/>
          <w:highlight w:val="none"/>
        </w:rPr>
        <w:t>元，与</w:t>
      </w: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年预算相比</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Times New Roman"/>
          <w:kern w:val="0"/>
          <w:sz w:val="30"/>
          <w:szCs w:val="30"/>
          <w:highlight w:val="none"/>
          <w:lang w:eastAsia="zh-CN"/>
        </w:rPr>
        <w:t>33,929.24</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22.89</w:t>
      </w:r>
      <w:r>
        <w:rPr>
          <w:rFonts w:hint="eastAsia" w:ascii="Times New Roman" w:hAnsi="Times New Roman" w:eastAsia="仿宋_GB2312" w:cs="仿宋_GB2312"/>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kern w:val="0"/>
          <w:sz w:val="30"/>
          <w:szCs w:val="30"/>
          <w:highlight w:val="none"/>
          <w:lang w:eastAsia="zh-CN"/>
        </w:rPr>
        <w:t>10,070.76</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增长</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小于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lang w:eastAsia="zh-CN"/>
        </w:rPr>
        <w:t>本着厉行节约的原则，天津市电子信息技师学院减少三公经费使用</w:t>
      </w:r>
      <w:r>
        <w:rPr>
          <w:rFonts w:hint="eastAsia" w:ascii="Times New Roman" w:hAnsi="Times New Roman" w:eastAsia="仿宋_GB2312" w:cs="仿宋_GB2312"/>
          <w:kern w:val="0"/>
          <w:sz w:val="30"/>
          <w:szCs w:val="30"/>
          <w:highlight w:val="none"/>
        </w:rPr>
        <w:t>；</w:t>
      </w:r>
      <w:bookmarkStart w:id="1" w:name="OLE_LINK2"/>
      <w:r>
        <w:rPr>
          <w:rFonts w:hint="eastAsia" w:ascii="Times New Roman" w:hAnsi="Times New Roman" w:eastAsia="仿宋_GB2312" w:cs="仿宋_GB2312"/>
          <w:kern w:val="0"/>
          <w:sz w:val="30"/>
          <w:szCs w:val="30"/>
          <w:highlight w:val="none"/>
        </w:rPr>
        <w:t>决算</w:t>
      </w:r>
      <w:bookmarkEnd w:id="1"/>
      <w:r>
        <w:rPr>
          <w:rFonts w:hint="eastAsia" w:ascii="Times New Roman" w:hAnsi="Times New Roman" w:eastAsia="仿宋_GB2312" w:cs="仿宋_GB2312"/>
          <w:kern w:val="0"/>
          <w:sz w:val="30"/>
          <w:szCs w:val="30"/>
          <w:highlight w:val="none"/>
        </w:rPr>
        <w:t>数较上年</w:t>
      </w:r>
      <w:r>
        <w:rPr>
          <w:rFonts w:hint="eastAsia" w:ascii="Times New Roman" w:hAnsi="Times New Roman" w:eastAsia="仿宋_GB2312" w:cs="仿宋_GB2312"/>
          <w:sz w:val="30"/>
          <w:szCs w:val="30"/>
          <w:highlight w:val="none"/>
          <w:lang w:eastAsia="zh-CN"/>
        </w:rPr>
        <w:t>增加</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2022年公车运行维护费使用的为非财资金。</w:t>
      </w:r>
    </w:p>
    <w:p w14:paraId="6BA77E8E">
      <w:pPr>
        <w:autoSpaceDE w:val="0"/>
        <w:autoSpaceDN w:val="0"/>
        <w:adjustRightInd w:val="0"/>
        <w:spacing w:line="600" w:lineRule="exact"/>
        <w:ind w:firstLine="602"/>
        <w:jc w:val="left"/>
        <w:rPr>
          <w:rFonts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（二）具体情况</w:t>
      </w:r>
    </w:p>
    <w:p w14:paraId="524E98A0">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1.</w:t>
      </w:r>
      <w:r>
        <w:rPr>
          <w:rFonts w:hint="eastAsia" w:ascii="Times New Roman" w:hAnsi="Times New Roman" w:eastAsia="仿宋_GB2312" w:cs="仿宋_GB2312"/>
          <w:kern w:val="0"/>
          <w:sz w:val="30"/>
          <w:szCs w:val="30"/>
          <w:highlight w:val="none"/>
        </w:rPr>
        <w:t>因公出国（境）费预算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lang w:eastAsia="zh-CN"/>
        </w:rPr>
        <w:t>0.00</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lang w:eastAsia="zh-CN"/>
        </w:rPr>
        <w:t>本年度及上年度未用一般公共预算列支因公出国</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本年度及上年度未用一般公共预算列支因公出国。</w:t>
      </w:r>
    </w:p>
    <w:p w14:paraId="736C8431">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年本单位组织的出国团组</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个，出国</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人次。</w:t>
      </w:r>
    </w:p>
    <w:p w14:paraId="59C021A7">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2.</w:t>
      </w:r>
      <w:r>
        <w:rPr>
          <w:rFonts w:hint="eastAsia" w:ascii="Times New Roman" w:hAnsi="Times New Roman" w:eastAsia="仿宋_GB2312" w:cs="仿宋_GB2312"/>
          <w:kern w:val="0"/>
          <w:sz w:val="30"/>
          <w:szCs w:val="30"/>
          <w:highlight w:val="none"/>
        </w:rPr>
        <w:t>公务用车购置及运行维护费预算</w:t>
      </w:r>
      <w:r>
        <w:rPr>
          <w:rFonts w:hint="eastAsia" w:ascii="Times New Roman" w:hAnsi="Times New Roman" w:eastAsia="仿宋_GB2312" w:cs="Times New Roman"/>
          <w:kern w:val="0"/>
          <w:sz w:val="30"/>
          <w:szCs w:val="30"/>
          <w:highlight w:val="none"/>
          <w:lang w:eastAsia="zh-CN"/>
        </w:rPr>
        <w:t>44,000.00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10,070.76</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Times New Roman"/>
          <w:kern w:val="0"/>
          <w:sz w:val="30"/>
          <w:szCs w:val="30"/>
          <w:highlight w:val="none"/>
          <w:lang w:eastAsia="zh-CN"/>
        </w:rPr>
        <w:t>33,929.24</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22.89</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kern w:val="0"/>
          <w:sz w:val="30"/>
          <w:szCs w:val="30"/>
          <w:highlight w:val="none"/>
          <w:lang w:eastAsia="zh-CN"/>
        </w:rPr>
        <w:t>10,070.76</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增长</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小于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lang w:eastAsia="zh-CN"/>
        </w:rPr>
        <w:t>本着厉行节约的原则，天津市电子信息技师学院减少公车运行维护费支出</w:t>
      </w:r>
      <w:r>
        <w:rPr>
          <w:rFonts w:hint="eastAsia" w:ascii="Times New Roman" w:hAnsi="Times New Roman" w:eastAsia="仿宋_GB2312" w:cs="仿宋_GB2312"/>
          <w:kern w:val="0"/>
          <w:sz w:val="30"/>
          <w:szCs w:val="30"/>
          <w:highlight w:val="none"/>
          <w:lang w:eastAsia="zh-CN"/>
        </w:rPr>
        <w:t>；</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增加</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2022年公车运行维护费使用的为非财资金。</w:t>
      </w:r>
      <w:r>
        <w:rPr>
          <w:rFonts w:hint="eastAsia" w:ascii="Times New Roman" w:hAnsi="Times New Roman" w:eastAsia="仿宋_GB2312" w:cs="仿宋_GB2312"/>
          <w:kern w:val="0"/>
          <w:sz w:val="30"/>
          <w:szCs w:val="30"/>
          <w:highlight w:val="none"/>
        </w:rPr>
        <w:t>其中：</w:t>
      </w:r>
    </w:p>
    <w:p w14:paraId="36DD0BF4">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rPr>
        <w:t>公务用车运行维护费预算</w:t>
      </w:r>
      <w:r>
        <w:rPr>
          <w:rFonts w:hint="eastAsia" w:ascii="Times New Roman" w:hAnsi="Times New Roman" w:eastAsia="仿宋_GB2312" w:cs="Times New Roman"/>
          <w:kern w:val="0"/>
          <w:sz w:val="30"/>
          <w:szCs w:val="30"/>
          <w:highlight w:val="none"/>
          <w:lang w:eastAsia="zh-CN"/>
        </w:rPr>
        <w:t>44,000.00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10,070.76</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Times New Roman"/>
          <w:kern w:val="0"/>
          <w:sz w:val="30"/>
          <w:szCs w:val="30"/>
          <w:highlight w:val="none"/>
          <w:lang w:eastAsia="zh-CN"/>
        </w:rPr>
        <w:t>33,929.24</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22.89</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kern w:val="0"/>
          <w:sz w:val="30"/>
          <w:szCs w:val="30"/>
          <w:highlight w:val="none"/>
          <w:lang w:eastAsia="zh-CN"/>
        </w:rPr>
        <w:t>10,070.76</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增长</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小于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lang w:eastAsia="zh-CN"/>
        </w:rPr>
        <w:t>本着厉行节约的原则，天津市电子信息技师学院减少公车运行维护费支出</w:t>
      </w:r>
      <w:r>
        <w:rPr>
          <w:rFonts w:hint="eastAsia" w:ascii="Times New Roman" w:hAnsi="Times New Roman" w:eastAsia="仿宋_GB2312" w:cs="仿宋_GB2312"/>
          <w:kern w:val="2"/>
          <w:sz w:val="30"/>
          <w:szCs w:val="30"/>
          <w:highlight w:val="none"/>
        </w:rPr>
        <w:t>；</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增加</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2022年公车运行维护费使用的为非财资金。</w:t>
      </w:r>
    </w:p>
    <w:p w14:paraId="554A6D74">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截至</w:t>
      </w: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w:t>
      </w:r>
      <w:r>
        <w:rPr>
          <w:rFonts w:ascii="Times New Roman" w:hAnsi="Times New Roman" w:eastAsia="仿宋_GB2312" w:cs="仿宋_GB2312"/>
          <w:kern w:val="0"/>
          <w:sz w:val="30"/>
          <w:szCs w:val="30"/>
          <w:highlight w:val="none"/>
        </w:rPr>
        <w:t>12</w:t>
      </w:r>
      <w:r>
        <w:rPr>
          <w:rFonts w:hint="eastAsia" w:ascii="Times New Roman" w:hAnsi="Times New Roman" w:eastAsia="仿宋_GB2312" w:cs="仿宋_GB2312"/>
          <w:kern w:val="0"/>
          <w:sz w:val="30"/>
          <w:szCs w:val="30"/>
          <w:highlight w:val="none"/>
        </w:rPr>
        <w:t>月</w:t>
      </w:r>
      <w:r>
        <w:rPr>
          <w:rFonts w:ascii="Times New Roman" w:hAnsi="Times New Roman" w:eastAsia="仿宋_GB2312" w:cs="仿宋_GB2312"/>
          <w:kern w:val="0"/>
          <w:sz w:val="30"/>
          <w:szCs w:val="30"/>
          <w:highlight w:val="none"/>
        </w:rPr>
        <w:t>31</w:t>
      </w:r>
      <w:r>
        <w:rPr>
          <w:rFonts w:hint="eastAsia" w:ascii="Times New Roman" w:hAnsi="Times New Roman" w:eastAsia="仿宋_GB2312" w:cs="仿宋_GB2312"/>
          <w:kern w:val="0"/>
          <w:sz w:val="30"/>
          <w:szCs w:val="30"/>
          <w:highlight w:val="none"/>
        </w:rPr>
        <w:t>日，使用财政拨款开支运行维护费的公务用车保有量为</w:t>
      </w:r>
      <w:r>
        <w:rPr>
          <w:rFonts w:hint="eastAsia" w:ascii="Times New Roman" w:hAnsi="Times New Roman" w:eastAsia="仿宋_GB2312" w:cs="Times New Roman"/>
          <w:kern w:val="0"/>
          <w:sz w:val="30"/>
          <w:szCs w:val="30"/>
          <w:highlight w:val="none"/>
          <w:lang w:eastAsia="zh-CN"/>
        </w:rPr>
        <w:t>1</w:t>
      </w:r>
      <w:r>
        <w:rPr>
          <w:rFonts w:hint="eastAsia" w:ascii="Times New Roman" w:hAnsi="Times New Roman" w:eastAsia="仿宋_GB2312" w:cs="仿宋_GB2312"/>
          <w:kern w:val="0"/>
          <w:sz w:val="30"/>
          <w:szCs w:val="30"/>
          <w:highlight w:val="none"/>
        </w:rPr>
        <w:t>辆。</w:t>
      </w:r>
    </w:p>
    <w:p w14:paraId="251E0EA9">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rPr>
        <w:t>公务用车购置费预算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lang w:eastAsia="zh-CN"/>
        </w:rPr>
        <w:t>0.00</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lang w:eastAsia="zh-CN"/>
        </w:rPr>
        <w:t>本年度及上年度未用一般公共预算列支公务用车购置费</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本年度及上年度未用一般公共预算列支公务用车购置费。</w:t>
      </w:r>
    </w:p>
    <w:p w14:paraId="64F725B4">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年购置公务用车</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辆。</w:t>
      </w:r>
    </w:p>
    <w:p w14:paraId="7F3E4668">
      <w:pPr>
        <w:autoSpaceDE w:val="0"/>
        <w:autoSpaceDN w:val="0"/>
        <w:adjustRightInd w:val="0"/>
        <w:spacing w:line="600" w:lineRule="exact"/>
        <w:ind w:firstLine="645"/>
        <w:jc w:val="left"/>
        <w:rPr>
          <w:rFonts w:hint="eastAsia"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3.</w:t>
      </w:r>
      <w:r>
        <w:rPr>
          <w:rFonts w:hint="eastAsia" w:ascii="Times New Roman" w:hAnsi="Times New Roman" w:eastAsia="仿宋_GB2312" w:cs="仿宋_GB2312"/>
          <w:kern w:val="0"/>
          <w:sz w:val="30"/>
          <w:szCs w:val="30"/>
          <w:highlight w:val="none"/>
        </w:rPr>
        <w:t>公务接待</w:t>
      </w:r>
      <w:bookmarkStart w:id="2" w:name="OLE_LINK3"/>
      <w:r>
        <w:rPr>
          <w:rFonts w:hint="eastAsia" w:ascii="Times New Roman" w:hAnsi="Times New Roman" w:eastAsia="仿宋_GB2312" w:cs="仿宋_GB2312"/>
          <w:kern w:val="0"/>
          <w:sz w:val="30"/>
          <w:szCs w:val="30"/>
          <w:highlight w:val="none"/>
        </w:rPr>
        <w:t>费</w:t>
      </w:r>
      <w:bookmarkEnd w:id="2"/>
      <w:r>
        <w:rPr>
          <w:rFonts w:hint="eastAsia" w:ascii="Times New Roman" w:hAnsi="Times New Roman" w:eastAsia="仿宋_GB2312" w:cs="仿宋_GB2312"/>
          <w:kern w:val="0"/>
          <w:sz w:val="30"/>
          <w:szCs w:val="30"/>
          <w:highlight w:val="none"/>
        </w:rPr>
        <w:t>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lang w:eastAsia="zh-CN"/>
        </w:rPr>
        <w:t>0.00</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lang w:eastAsia="zh-CN"/>
        </w:rPr>
        <w:t>本年度及上年度未用一般公共预算列支公务接待费</w:t>
      </w:r>
      <w:bookmarkStart w:id="3" w:name="OLE_LINK4"/>
      <w:r>
        <w:rPr>
          <w:rFonts w:hint="eastAsia" w:ascii="Times New Roman" w:hAnsi="Times New Roman" w:eastAsia="仿宋_GB2312" w:cs="仿宋_GB2312"/>
          <w:kern w:val="0"/>
          <w:sz w:val="30"/>
          <w:szCs w:val="30"/>
          <w:highlight w:val="none"/>
        </w:rPr>
        <w:t>；</w:t>
      </w:r>
      <w:bookmarkEnd w:id="3"/>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本年度及上年度未用一般公共预算列支公务接待费。</w:t>
      </w:r>
    </w:p>
    <w:p w14:paraId="522E8709">
      <w:pPr>
        <w:autoSpaceDE w:val="0"/>
        <w:autoSpaceDN w:val="0"/>
        <w:adjustRightInd w:val="0"/>
        <w:spacing w:line="600" w:lineRule="exact"/>
        <w:ind w:firstLine="645"/>
        <w:jc w:val="left"/>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年本单位国内公务接待</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批次，</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人次；其中，外事接待</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批次，</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人次。</w:t>
      </w:r>
    </w:p>
    <w:p w14:paraId="1FC7CF4F">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十、机关运行经费支出情况说明</w:t>
      </w:r>
    </w:p>
    <w:p w14:paraId="02D64153">
      <w:pPr>
        <w:autoSpaceDE w:val="0"/>
        <w:autoSpaceDN w:val="0"/>
        <w:adjustRightInd w:val="0"/>
        <w:spacing w:line="580" w:lineRule="exact"/>
        <w:ind w:firstLine="60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机关运行经费是指行政单位和参照公务员法管理的事业单位使用一般公共预算财政拨款安排的基本支出中的日常公用经费支出，</w:t>
      </w:r>
      <w:r>
        <w:rPr>
          <w:rFonts w:hint="eastAsia" w:ascii="Times New Roman" w:hAnsi="Times New Roman" w:eastAsia="仿宋_GB2312" w:cs="Times New Roman"/>
          <w:kern w:val="0"/>
          <w:sz w:val="30"/>
          <w:szCs w:val="30"/>
          <w:highlight w:val="none"/>
          <w:lang w:eastAsia="zh-CN"/>
        </w:rPr>
        <w:t>天津市电子信息技师学院</w:t>
      </w:r>
      <w:r>
        <w:rPr>
          <w:rFonts w:hint="eastAsia" w:ascii="Times New Roman" w:hAnsi="Times New Roman" w:eastAsia="宋体" w:cs="宋体"/>
          <w:kern w:val="0"/>
          <w:sz w:val="30"/>
          <w:szCs w:val="30"/>
          <w:highlight w:val="none"/>
          <w:lang w:eastAsia="zh-CN"/>
        </w:rPr>
        <w:t>2023</w:t>
      </w:r>
      <w:r>
        <w:rPr>
          <w:rFonts w:hint="eastAsia" w:ascii="Times New Roman" w:hAnsi="Times New Roman" w:eastAsia="仿宋_GB2312" w:cs="仿宋_GB2312"/>
          <w:kern w:val="0"/>
          <w:sz w:val="30"/>
          <w:szCs w:val="30"/>
          <w:highlight w:val="none"/>
        </w:rPr>
        <w:t>年度机关运行经费决算数</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元，比</w:t>
      </w:r>
      <w:r>
        <w:rPr>
          <w:rFonts w:hint="eastAsia" w:ascii="Times New Roman" w:hAnsi="Times New Roman" w:eastAsia="仿宋_GB2312" w:cs="Times New Roman"/>
          <w:kern w:val="0"/>
          <w:sz w:val="30"/>
          <w:szCs w:val="30"/>
          <w:highlight w:val="none"/>
          <w:lang w:eastAsia="zh-CN"/>
        </w:rPr>
        <w:t>2022</w:t>
      </w:r>
      <w:r>
        <w:rPr>
          <w:rFonts w:hint="eastAsia" w:ascii="Times New Roman" w:hAnsi="Times New Roman" w:eastAsia="仿宋_GB2312" w:cs="仿宋_GB2312"/>
          <w:kern w:val="0"/>
          <w:sz w:val="30"/>
          <w:szCs w:val="30"/>
          <w:highlight w:val="none"/>
        </w:rPr>
        <w:t>年</w:t>
      </w:r>
      <w:r>
        <w:rPr>
          <w:rFonts w:hint="eastAsia" w:ascii="Times New Roman" w:hAnsi="Times New Roman" w:eastAsia="仿宋_GB2312" w:cs="仿宋_GB2312"/>
          <w:kern w:val="0"/>
          <w:sz w:val="30"/>
          <w:szCs w:val="30"/>
          <w:highlight w:val="none"/>
          <w:lang w:val="en-US" w:eastAsia="zh-CN"/>
        </w:rPr>
        <w:t>持平</w:t>
      </w:r>
      <w:r>
        <w:rPr>
          <w:rFonts w:hint="eastAsia" w:ascii="Times New Roman" w:hAnsi="Times New Roman" w:eastAsia="仿宋_GB2312" w:cs="仿宋_GB2312"/>
          <w:kern w:val="0"/>
          <w:sz w:val="30"/>
          <w:szCs w:val="30"/>
          <w:highlight w:val="none"/>
          <w:lang w:eastAsia="zh-CN"/>
        </w:rPr>
        <w:t>0.00</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kern w:val="0"/>
          <w:sz w:val="30"/>
          <w:szCs w:val="30"/>
          <w:highlight w:val="none"/>
          <w:lang w:val="en-US" w:eastAsia="zh-CN"/>
        </w:rPr>
        <w:t>持平</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kern w:val="0"/>
          <w:sz w:val="30"/>
          <w:szCs w:val="30"/>
          <w:highlight w:val="none"/>
          <w:lang w:eastAsia="zh-CN"/>
        </w:rPr>
        <w:t>%</w:t>
      </w:r>
      <w:r>
        <w:rPr>
          <w:rFonts w:hint="eastAsia" w:ascii="Times New Roman" w:hAnsi="Times New Roman" w:eastAsia="仿宋_GB2312" w:cs="仿宋_GB2312"/>
          <w:kern w:val="0"/>
          <w:sz w:val="30"/>
          <w:szCs w:val="30"/>
          <w:highlight w:val="none"/>
        </w:rPr>
        <w:t>。主要原因是：</w:t>
      </w:r>
    </w:p>
    <w:p w14:paraId="4273EE30">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天津市电子信息技师学院2023年度无机关运行经费。</w:t>
      </w:r>
    </w:p>
    <w:p w14:paraId="09285C1F">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十一、政府采购支出情况说明</w:t>
      </w:r>
    </w:p>
    <w:p w14:paraId="750D7CC0">
      <w:pPr>
        <w:autoSpaceDE w:val="0"/>
        <w:autoSpaceDN w:val="0"/>
        <w:adjustRightInd w:val="0"/>
        <w:spacing w:line="600" w:lineRule="exact"/>
        <w:ind w:firstLine="600"/>
        <w:jc w:val="left"/>
        <w:rPr>
          <w:rFonts w:ascii="Times New Roman" w:hAnsi="Times New Roman" w:eastAsia="楷体" w:cs="Times New Roman"/>
          <w:kern w:val="0"/>
          <w:sz w:val="30"/>
          <w:szCs w:val="30"/>
          <w:highlight w:val="none"/>
        </w:rPr>
      </w:pPr>
      <w:r>
        <w:rPr>
          <w:rFonts w:hint="eastAsia" w:ascii="Times New Roman" w:hAnsi="Times New Roman" w:eastAsia="仿宋_GB2312" w:cs="仿宋_GB2312"/>
          <w:color w:val="000000"/>
          <w:kern w:val="0"/>
          <w:sz w:val="30"/>
          <w:szCs w:val="30"/>
          <w:highlight w:val="none"/>
          <w:lang w:eastAsia="zh-CN"/>
        </w:rPr>
        <w:t>天津市电子信息技师学院</w:t>
      </w:r>
      <w:r>
        <w:rPr>
          <w:rFonts w:hint="eastAsia" w:ascii="Times New Roman" w:hAnsi="Times New Roman" w:eastAsia="宋体" w:cs="宋体"/>
          <w:color w:val="000000"/>
          <w:kern w:val="0"/>
          <w:sz w:val="30"/>
          <w:szCs w:val="30"/>
          <w:highlight w:val="none"/>
          <w:lang w:eastAsia="zh-CN"/>
        </w:rPr>
        <w:t>2023</w:t>
      </w:r>
      <w:r>
        <w:rPr>
          <w:rFonts w:hint="eastAsia" w:ascii="Times New Roman" w:hAnsi="Times New Roman" w:eastAsia="仿宋_GB2312" w:cs="仿宋_GB2312"/>
          <w:color w:val="000000"/>
          <w:kern w:val="0"/>
          <w:sz w:val="30"/>
          <w:szCs w:val="30"/>
          <w:highlight w:val="none"/>
        </w:rPr>
        <w:t>年</w:t>
      </w:r>
      <w:r>
        <w:rPr>
          <w:rFonts w:hint="eastAsia" w:ascii="Times New Roman" w:hAnsi="Times New Roman" w:eastAsia="仿宋_GB2312" w:cs="仿宋_GB2312"/>
          <w:sz w:val="30"/>
          <w:szCs w:val="30"/>
          <w:highlight w:val="none"/>
        </w:rPr>
        <w:t>政府</w:t>
      </w:r>
      <w:r>
        <w:rPr>
          <w:rFonts w:hint="eastAsia" w:ascii="Times New Roman" w:hAnsi="Times New Roman" w:eastAsia="仿宋_GB2312" w:cs="仿宋_GB2312"/>
          <w:color w:val="000000"/>
          <w:kern w:val="0"/>
          <w:sz w:val="30"/>
          <w:szCs w:val="30"/>
          <w:highlight w:val="none"/>
        </w:rPr>
        <w:t>采购支出总额</w:t>
      </w:r>
      <w:r>
        <w:rPr>
          <w:rFonts w:hint="eastAsia" w:ascii="Times New Roman" w:hAnsi="Times New Roman" w:eastAsia="仿宋_GB2312" w:cs="Times New Roman"/>
          <w:kern w:val="0"/>
          <w:sz w:val="30"/>
          <w:szCs w:val="30"/>
          <w:highlight w:val="none"/>
          <w:lang w:eastAsia="zh-CN"/>
        </w:rPr>
        <w:t>12,210,765.05</w:t>
      </w:r>
      <w:r>
        <w:rPr>
          <w:rFonts w:hint="eastAsia" w:ascii="Times New Roman" w:hAnsi="Times New Roman" w:eastAsia="仿宋_GB2312" w:cs="仿宋_GB2312"/>
          <w:color w:val="000000"/>
          <w:kern w:val="0"/>
          <w:sz w:val="30"/>
          <w:szCs w:val="30"/>
          <w:highlight w:val="none"/>
        </w:rPr>
        <w:t>元，其中：政府采购货物支出</w:t>
      </w:r>
      <w:r>
        <w:rPr>
          <w:rFonts w:hint="eastAsia" w:ascii="Times New Roman" w:hAnsi="Times New Roman" w:eastAsia="仿宋_GB2312" w:cs="Times New Roman"/>
          <w:kern w:val="0"/>
          <w:sz w:val="30"/>
          <w:szCs w:val="30"/>
          <w:highlight w:val="none"/>
          <w:lang w:eastAsia="zh-CN"/>
        </w:rPr>
        <w:t>6,702,844.00</w:t>
      </w:r>
      <w:r>
        <w:rPr>
          <w:rFonts w:hint="eastAsia" w:ascii="Times New Roman" w:hAnsi="Times New Roman" w:eastAsia="仿宋_GB2312" w:cs="仿宋_GB2312"/>
          <w:color w:val="000000"/>
          <w:kern w:val="0"/>
          <w:sz w:val="30"/>
          <w:szCs w:val="30"/>
          <w:highlight w:val="none"/>
        </w:rPr>
        <w:t>元、政府采购工程支出</w:t>
      </w:r>
      <w:r>
        <w:rPr>
          <w:rFonts w:hint="eastAsia" w:ascii="Times New Roman" w:hAnsi="Times New Roman" w:eastAsia="仿宋_GB2312" w:cs="Times New Roman"/>
          <w:kern w:val="0"/>
          <w:sz w:val="30"/>
          <w:szCs w:val="30"/>
          <w:highlight w:val="none"/>
          <w:lang w:eastAsia="zh-CN"/>
        </w:rPr>
        <w:t>690,000.00</w:t>
      </w:r>
      <w:r>
        <w:rPr>
          <w:rFonts w:hint="eastAsia" w:ascii="Times New Roman" w:hAnsi="Times New Roman" w:eastAsia="仿宋_GB2312" w:cs="仿宋_GB2312"/>
          <w:color w:val="000000"/>
          <w:kern w:val="0"/>
          <w:sz w:val="30"/>
          <w:szCs w:val="30"/>
          <w:highlight w:val="none"/>
        </w:rPr>
        <w:t>元、政府采购服务支出</w:t>
      </w:r>
      <w:r>
        <w:rPr>
          <w:rFonts w:hint="eastAsia" w:ascii="Times New Roman" w:hAnsi="Times New Roman" w:eastAsia="仿宋_GB2312" w:cs="Times New Roman"/>
          <w:kern w:val="0"/>
          <w:sz w:val="30"/>
          <w:szCs w:val="30"/>
          <w:highlight w:val="none"/>
          <w:lang w:eastAsia="zh-CN"/>
        </w:rPr>
        <w:t>4,817,921.05</w:t>
      </w:r>
      <w:r>
        <w:rPr>
          <w:rFonts w:hint="eastAsia" w:ascii="Times New Roman" w:hAnsi="Times New Roman" w:eastAsia="仿宋_GB2312" w:cs="仿宋_GB2312"/>
          <w:color w:val="000000"/>
          <w:kern w:val="0"/>
          <w:sz w:val="30"/>
          <w:szCs w:val="30"/>
          <w:highlight w:val="none"/>
        </w:rPr>
        <w:t>元。授予中小企业合同金额</w:t>
      </w:r>
      <w:r>
        <w:rPr>
          <w:rFonts w:hint="eastAsia" w:ascii="Times New Roman" w:hAnsi="Times New Roman" w:eastAsia="仿宋_GB2312" w:cs="Times New Roman"/>
          <w:kern w:val="0"/>
          <w:sz w:val="30"/>
          <w:szCs w:val="30"/>
          <w:highlight w:val="none"/>
          <w:lang w:eastAsia="zh-CN"/>
        </w:rPr>
        <w:t>11,520,765.05</w:t>
      </w:r>
      <w:r>
        <w:rPr>
          <w:rFonts w:hint="eastAsia" w:ascii="Times New Roman" w:hAnsi="Times New Roman" w:eastAsia="仿宋_GB2312" w:cs="仿宋_GB2312"/>
          <w:color w:val="000000"/>
          <w:kern w:val="0"/>
          <w:sz w:val="30"/>
          <w:szCs w:val="30"/>
          <w:highlight w:val="none"/>
        </w:rPr>
        <w:t>元，占政府采购支出总额的</w:t>
      </w:r>
      <w:r>
        <w:rPr>
          <w:rFonts w:hint="eastAsia" w:ascii="Times New Roman" w:hAnsi="Times New Roman" w:eastAsia="仿宋_GB2312" w:cs="Times New Roman"/>
          <w:kern w:val="0"/>
          <w:sz w:val="30"/>
          <w:szCs w:val="30"/>
          <w:highlight w:val="none"/>
          <w:lang w:eastAsia="zh-CN"/>
        </w:rPr>
        <w:t>94.35%</w:t>
      </w:r>
      <w:r>
        <w:rPr>
          <w:rFonts w:hint="eastAsia" w:ascii="Times New Roman" w:hAnsi="Times New Roman" w:eastAsia="仿宋_GB2312" w:cs="仿宋_GB2312"/>
          <w:color w:val="000000"/>
          <w:kern w:val="0"/>
          <w:sz w:val="30"/>
          <w:szCs w:val="30"/>
          <w:highlight w:val="none"/>
        </w:rPr>
        <w:t>，其中：授予小微企业合同金额</w:t>
      </w:r>
      <w:r>
        <w:rPr>
          <w:rFonts w:hint="eastAsia" w:ascii="Times New Roman" w:hAnsi="Times New Roman" w:eastAsia="仿宋_GB2312" w:cs="Times New Roman"/>
          <w:kern w:val="0"/>
          <w:sz w:val="30"/>
          <w:szCs w:val="30"/>
          <w:highlight w:val="none"/>
          <w:lang w:eastAsia="zh-CN"/>
        </w:rPr>
        <w:t>11,520,765.05</w:t>
      </w:r>
      <w:r>
        <w:rPr>
          <w:rFonts w:hint="eastAsia" w:ascii="Times New Roman" w:hAnsi="Times New Roman" w:eastAsia="仿宋_GB2312" w:cs="仿宋_GB2312"/>
          <w:color w:val="000000"/>
          <w:kern w:val="0"/>
          <w:sz w:val="30"/>
          <w:szCs w:val="30"/>
          <w:highlight w:val="none"/>
        </w:rPr>
        <w:t>元，占政府采购支出总额的</w:t>
      </w:r>
      <w:r>
        <w:rPr>
          <w:rFonts w:hint="eastAsia" w:ascii="Times New Roman" w:hAnsi="Times New Roman" w:eastAsia="仿宋_GB2312" w:cs="Times New Roman"/>
          <w:kern w:val="0"/>
          <w:sz w:val="30"/>
          <w:szCs w:val="30"/>
          <w:highlight w:val="none"/>
          <w:lang w:eastAsia="zh-CN"/>
        </w:rPr>
        <w:t>94.35%</w:t>
      </w:r>
      <w:r>
        <w:rPr>
          <w:rFonts w:hint="eastAsia" w:ascii="Times New Roman" w:hAnsi="Times New Roman" w:eastAsia="仿宋_GB2312" w:cs="仿宋_GB2312"/>
          <w:color w:val="000000"/>
          <w:kern w:val="0"/>
          <w:sz w:val="30"/>
          <w:szCs w:val="30"/>
          <w:highlight w:val="none"/>
        </w:rPr>
        <w:t>；</w:t>
      </w:r>
      <w:r>
        <w:rPr>
          <w:rFonts w:hint="eastAsia" w:ascii="Times New Roman" w:hAnsi="Times New Roman" w:eastAsia="仿宋_GB2312" w:cs="仿宋_GB2312"/>
          <w:kern w:val="0"/>
          <w:sz w:val="30"/>
          <w:szCs w:val="30"/>
          <w:highlight w:val="none"/>
        </w:rPr>
        <w:t>货物采购授予中小企业合同金额占货物支出金额的</w:t>
      </w:r>
      <w:r>
        <w:rPr>
          <w:rFonts w:hint="eastAsia" w:ascii="Times New Roman" w:hAnsi="Times New Roman" w:eastAsia="仿宋_GB2312" w:cs="仿宋_GB2312"/>
          <w:sz w:val="30"/>
          <w:szCs w:val="30"/>
          <w:highlight w:val="none"/>
          <w:lang w:eastAsia="zh-CN"/>
        </w:rPr>
        <w:t>100.0</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，工程采购授予中小企业合同金额占工程支出金额的</w:t>
      </w:r>
      <w:r>
        <w:rPr>
          <w:rFonts w:hint="eastAsia" w:ascii="Times New Roman" w:hAnsi="Times New Roman" w:eastAsia="仿宋_GB2312" w:cs="仿宋_GB2312"/>
          <w:sz w:val="30"/>
          <w:szCs w:val="30"/>
          <w:highlight w:val="none"/>
          <w:lang w:eastAsia="zh-CN"/>
        </w:rPr>
        <w:t>0.0</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，服务采购授予中小企业合同金额占服务支出金额的</w:t>
      </w:r>
      <w:r>
        <w:rPr>
          <w:rFonts w:hint="eastAsia" w:ascii="Times New Roman" w:hAnsi="Times New Roman" w:eastAsia="仿宋_GB2312" w:cs="仿宋_GB2312"/>
          <w:sz w:val="30"/>
          <w:szCs w:val="30"/>
          <w:highlight w:val="none"/>
          <w:lang w:eastAsia="zh-CN"/>
        </w:rPr>
        <w:t>100.0</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w:t>
      </w:r>
    </w:p>
    <w:p w14:paraId="0DA6B7F0">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十二、</w:t>
      </w:r>
      <w:r>
        <w:rPr>
          <w:rFonts w:hint="eastAsia" w:ascii="Times New Roman" w:hAnsi="Times New Roman" w:eastAsia="黑体" w:cs="黑体"/>
          <w:b/>
          <w:bCs/>
          <w:kern w:val="0"/>
          <w:sz w:val="30"/>
          <w:szCs w:val="30"/>
          <w:highlight w:val="none"/>
        </w:rPr>
        <w:t>国有资产占有使用情况说明</w:t>
      </w:r>
    </w:p>
    <w:p w14:paraId="4BCC4500">
      <w:pPr>
        <w:autoSpaceDE w:val="0"/>
        <w:autoSpaceDN w:val="0"/>
        <w:adjustRightInd w:val="0"/>
        <w:spacing w:line="600" w:lineRule="exact"/>
        <w:ind w:firstLine="720"/>
        <w:jc w:val="left"/>
        <w:rPr>
          <w:rFonts w:ascii="Times New Roman" w:hAnsi="Times New Roman" w:eastAsia="仿宋_GB2312" w:cs="Times New Roman"/>
          <w:color w:val="000000"/>
          <w:kern w:val="0"/>
          <w:sz w:val="30"/>
          <w:szCs w:val="30"/>
          <w:highlight w:val="none"/>
        </w:rPr>
      </w:pPr>
      <w:r>
        <w:rPr>
          <w:rFonts w:hint="eastAsia" w:ascii="Times New Roman" w:hAnsi="Times New Roman" w:eastAsia="仿宋_GB2312" w:cs="仿宋_GB2312"/>
          <w:color w:val="000000"/>
          <w:kern w:val="0"/>
          <w:sz w:val="30"/>
          <w:szCs w:val="30"/>
          <w:highlight w:val="none"/>
        </w:rPr>
        <w:t>截至</w:t>
      </w:r>
      <w:r>
        <w:rPr>
          <w:rFonts w:ascii="Times New Roman" w:hAnsi="Times New Roman" w:eastAsia="宋体" w:cs="宋体"/>
          <w:color w:val="000000"/>
          <w:kern w:val="0"/>
          <w:sz w:val="30"/>
          <w:szCs w:val="30"/>
          <w:highlight w:val="none"/>
        </w:rPr>
        <w:t>202</w:t>
      </w:r>
      <w:r>
        <w:rPr>
          <w:rFonts w:hint="eastAsia" w:ascii="Times New Roman" w:hAnsi="Times New Roman" w:eastAsia="宋体" w:cs="宋体"/>
          <w:color w:val="000000"/>
          <w:kern w:val="0"/>
          <w:sz w:val="30"/>
          <w:szCs w:val="30"/>
          <w:highlight w:val="none"/>
          <w:lang w:val="en-US" w:eastAsia="zh-CN"/>
        </w:rPr>
        <w:t>3</w:t>
      </w:r>
      <w:r>
        <w:rPr>
          <w:rFonts w:hint="eastAsia" w:ascii="Times New Roman" w:hAnsi="Times New Roman" w:eastAsia="仿宋_GB2312" w:cs="仿宋_GB2312"/>
          <w:color w:val="000000"/>
          <w:kern w:val="0"/>
          <w:sz w:val="30"/>
          <w:szCs w:val="30"/>
          <w:highlight w:val="none"/>
        </w:rPr>
        <w:t>年</w:t>
      </w:r>
      <w:r>
        <w:rPr>
          <w:rFonts w:ascii="Times New Roman" w:hAnsi="Times New Roman" w:eastAsia="仿宋_GB2312" w:cs="Times New Roman"/>
          <w:color w:val="000000"/>
          <w:kern w:val="0"/>
          <w:sz w:val="30"/>
          <w:szCs w:val="30"/>
          <w:highlight w:val="none"/>
        </w:rPr>
        <w:t>12</w:t>
      </w:r>
      <w:r>
        <w:rPr>
          <w:rFonts w:hint="eastAsia" w:ascii="Times New Roman" w:hAnsi="Times New Roman" w:eastAsia="仿宋_GB2312" w:cs="仿宋_GB2312"/>
          <w:color w:val="000000"/>
          <w:kern w:val="0"/>
          <w:sz w:val="30"/>
          <w:szCs w:val="30"/>
          <w:highlight w:val="none"/>
        </w:rPr>
        <w:t>月</w:t>
      </w:r>
      <w:r>
        <w:rPr>
          <w:rFonts w:ascii="Times New Roman" w:hAnsi="Times New Roman" w:eastAsia="仿宋_GB2312" w:cs="Times New Roman"/>
          <w:color w:val="000000"/>
          <w:kern w:val="0"/>
          <w:sz w:val="30"/>
          <w:szCs w:val="30"/>
          <w:highlight w:val="none"/>
        </w:rPr>
        <w:t>31</w:t>
      </w:r>
      <w:r>
        <w:rPr>
          <w:rFonts w:hint="eastAsia" w:ascii="Times New Roman" w:hAnsi="Times New Roman" w:eastAsia="仿宋_GB2312" w:cs="仿宋_GB2312"/>
          <w:color w:val="000000"/>
          <w:kern w:val="0"/>
          <w:sz w:val="30"/>
          <w:szCs w:val="30"/>
          <w:highlight w:val="none"/>
        </w:rPr>
        <w:t>日，</w:t>
      </w:r>
      <w:r>
        <w:rPr>
          <w:rFonts w:hint="eastAsia" w:ascii="Times New Roman" w:hAnsi="Times New Roman" w:eastAsia="仿宋_GB2312" w:cs="仿宋_GB2312"/>
          <w:color w:val="000000"/>
          <w:kern w:val="0"/>
          <w:sz w:val="30"/>
          <w:szCs w:val="30"/>
          <w:highlight w:val="none"/>
          <w:lang w:eastAsia="zh-CN"/>
        </w:rPr>
        <w:t>天津市电子信息技师学院</w:t>
      </w:r>
      <w:r>
        <w:rPr>
          <w:rFonts w:hint="eastAsia" w:ascii="Times New Roman" w:hAnsi="Times New Roman" w:eastAsia="仿宋_GB2312" w:cs="仿宋_GB2312"/>
          <w:color w:val="000000"/>
          <w:kern w:val="0"/>
          <w:sz w:val="30"/>
          <w:szCs w:val="30"/>
          <w:highlight w:val="none"/>
        </w:rPr>
        <w:t>共有车辆</w:t>
      </w:r>
      <w:r>
        <w:rPr>
          <w:rFonts w:hint="eastAsia" w:ascii="Times New Roman" w:hAnsi="Times New Roman" w:eastAsia="仿宋_GB2312" w:cs="Times New Roman"/>
          <w:kern w:val="0"/>
          <w:sz w:val="30"/>
          <w:szCs w:val="30"/>
          <w:highlight w:val="none"/>
          <w:lang w:eastAsia="zh-CN"/>
        </w:rPr>
        <w:t>1</w:t>
      </w:r>
      <w:r>
        <w:rPr>
          <w:rFonts w:hint="eastAsia" w:ascii="Times New Roman" w:hAnsi="Times New Roman" w:eastAsia="仿宋_GB2312" w:cs="仿宋_GB2312"/>
          <w:color w:val="000000"/>
          <w:kern w:val="0"/>
          <w:sz w:val="30"/>
          <w:szCs w:val="30"/>
          <w:highlight w:val="none"/>
        </w:rPr>
        <w:t>辆，其中：</w:t>
      </w:r>
      <w:r>
        <w:rPr>
          <w:rFonts w:ascii="Times New Roman" w:hAnsi="Times New Roman" w:eastAsia="仿宋_GB2312" w:cs="Times New Roman"/>
          <w:kern w:val="0"/>
          <w:sz w:val="30"/>
          <w:szCs w:val="30"/>
          <w:highlight w:val="none"/>
        </w:rPr>
        <w:t>副部（省）级及以上领导用车</w:t>
      </w:r>
      <w:r>
        <w:rPr>
          <w:rFonts w:hint="eastAsia" w:ascii="Times New Roman" w:hAnsi="Times New Roman" w:eastAsia="仿宋_GB2312" w:cs="Times New Roman"/>
          <w:kern w:val="0"/>
          <w:sz w:val="30"/>
          <w:szCs w:val="30"/>
          <w:highlight w:val="none"/>
          <w:lang w:eastAsia="zh-CN"/>
        </w:rPr>
        <w:t>0</w:t>
      </w:r>
      <w:r>
        <w:rPr>
          <w:rFonts w:ascii="Times New Roman" w:hAnsi="Times New Roman" w:eastAsia="仿宋_GB2312" w:cs="Times New Roman"/>
          <w:kern w:val="0"/>
          <w:sz w:val="30"/>
          <w:szCs w:val="30"/>
          <w:highlight w:val="none"/>
        </w:rPr>
        <w:t>辆</w:t>
      </w:r>
      <w:r>
        <w:rPr>
          <w:rFonts w:eastAsia="仿宋_GB2312"/>
          <w:sz w:val="30"/>
          <w:szCs w:val="30"/>
          <w:highlight w:val="none"/>
        </w:rPr>
        <w:t>、</w:t>
      </w:r>
      <w:r>
        <w:rPr>
          <w:rFonts w:ascii="Times New Roman" w:hAnsi="Times New Roman" w:eastAsia="仿宋_GB2312" w:cs="Times New Roman"/>
          <w:kern w:val="0"/>
          <w:sz w:val="30"/>
          <w:szCs w:val="30"/>
          <w:highlight w:val="none"/>
        </w:rPr>
        <w:t>主要</w:t>
      </w:r>
      <w:r>
        <w:rPr>
          <w:rFonts w:hint="eastAsia" w:ascii="Times New Roman" w:hAnsi="Times New Roman" w:eastAsia="仿宋_GB2312" w:cs="Times New Roman"/>
          <w:kern w:val="0"/>
          <w:sz w:val="30"/>
          <w:szCs w:val="30"/>
          <w:highlight w:val="none"/>
          <w:lang w:val="en-US" w:eastAsia="zh-CN"/>
        </w:rPr>
        <w:t>负责人</w:t>
      </w:r>
      <w:r>
        <w:rPr>
          <w:rFonts w:ascii="Times New Roman" w:hAnsi="Times New Roman" w:eastAsia="仿宋_GB2312" w:cs="Times New Roman"/>
          <w:kern w:val="0"/>
          <w:sz w:val="30"/>
          <w:szCs w:val="30"/>
          <w:highlight w:val="none"/>
        </w:rPr>
        <w:t>用车</w:t>
      </w:r>
      <w:r>
        <w:rPr>
          <w:rFonts w:hint="eastAsia" w:ascii="Times New Roman" w:hAnsi="Times New Roman" w:eastAsia="仿宋_GB2312" w:cs="Times New Roman"/>
          <w:kern w:val="0"/>
          <w:sz w:val="30"/>
          <w:szCs w:val="30"/>
          <w:highlight w:val="none"/>
          <w:lang w:eastAsia="zh-CN"/>
        </w:rPr>
        <w:t>0</w:t>
      </w:r>
      <w:r>
        <w:rPr>
          <w:rFonts w:ascii="Times New Roman" w:hAnsi="Times New Roman" w:eastAsia="仿宋_GB2312" w:cs="Times New Roman"/>
          <w:kern w:val="0"/>
          <w:sz w:val="30"/>
          <w:szCs w:val="30"/>
          <w:highlight w:val="none"/>
        </w:rPr>
        <w:t>辆</w:t>
      </w:r>
      <w:r>
        <w:rPr>
          <w:rFonts w:eastAsia="仿宋_GB2312"/>
          <w:sz w:val="30"/>
          <w:szCs w:val="30"/>
          <w:highlight w:val="none"/>
        </w:rPr>
        <w:t>、</w:t>
      </w:r>
      <w:r>
        <w:rPr>
          <w:rFonts w:ascii="Times New Roman" w:hAnsi="Times New Roman" w:eastAsia="仿宋_GB2312" w:cs="Times New Roman"/>
          <w:kern w:val="0"/>
          <w:sz w:val="30"/>
          <w:szCs w:val="30"/>
          <w:highlight w:val="none"/>
        </w:rPr>
        <w:t>机要通信用车</w:t>
      </w:r>
      <w:r>
        <w:rPr>
          <w:rFonts w:hint="eastAsia" w:ascii="Times New Roman" w:hAnsi="Times New Roman" w:eastAsia="仿宋_GB2312" w:cs="Times New Roman"/>
          <w:kern w:val="0"/>
          <w:sz w:val="30"/>
          <w:szCs w:val="30"/>
          <w:highlight w:val="none"/>
          <w:lang w:eastAsia="zh-CN"/>
        </w:rPr>
        <w:t>0</w:t>
      </w:r>
      <w:r>
        <w:rPr>
          <w:rFonts w:ascii="Times New Roman" w:hAnsi="Times New Roman" w:eastAsia="仿宋_GB2312" w:cs="Times New Roman"/>
          <w:kern w:val="0"/>
          <w:sz w:val="30"/>
          <w:szCs w:val="30"/>
          <w:highlight w:val="none"/>
        </w:rPr>
        <w:t>辆</w:t>
      </w:r>
      <w:r>
        <w:rPr>
          <w:rFonts w:eastAsia="仿宋_GB2312"/>
          <w:sz w:val="30"/>
          <w:szCs w:val="30"/>
          <w:highlight w:val="none"/>
        </w:rPr>
        <w:t>、</w:t>
      </w:r>
      <w:r>
        <w:rPr>
          <w:rFonts w:ascii="Times New Roman" w:hAnsi="Times New Roman" w:eastAsia="仿宋_GB2312" w:cs="Times New Roman"/>
          <w:kern w:val="0"/>
          <w:sz w:val="30"/>
          <w:szCs w:val="30"/>
          <w:highlight w:val="none"/>
        </w:rPr>
        <w:t>应急保障用车</w:t>
      </w:r>
      <w:r>
        <w:rPr>
          <w:rFonts w:hint="eastAsia" w:ascii="Times New Roman" w:hAnsi="Times New Roman" w:eastAsia="仿宋_GB2312" w:cs="Times New Roman"/>
          <w:kern w:val="0"/>
          <w:sz w:val="30"/>
          <w:szCs w:val="30"/>
          <w:highlight w:val="none"/>
          <w:lang w:eastAsia="zh-CN"/>
        </w:rPr>
        <w:t>0</w:t>
      </w:r>
      <w:r>
        <w:rPr>
          <w:rFonts w:ascii="Times New Roman" w:hAnsi="Times New Roman" w:eastAsia="仿宋_GB2312" w:cs="Times New Roman"/>
          <w:kern w:val="0"/>
          <w:sz w:val="30"/>
          <w:szCs w:val="30"/>
          <w:highlight w:val="none"/>
        </w:rPr>
        <w:t>辆</w:t>
      </w:r>
      <w:r>
        <w:rPr>
          <w:rFonts w:eastAsia="仿宋_GB2312"/>
          <w:sz w:val="30"/>
          <w:szCs w:val="30"/>
          <w:highlight w:val="none"/>
        </w:rPr>
        <w:t>、</w:t>
      </w:r>
      <w:r>
        <w:rPr>
          <w:rFonts w:ascii="Times New Roman" w:hAnsi="Times New Roman" w:eastAsia="仿宋_GB2312" w:cs="Times New Roman"/>
          <w:kern w:val="0"/>
          <w:sz w:val="30"/>
          <w:szCs w:val="30"/>
          <w:highlight w:val="none"/>
        </w:rPr>
        <w:t>执法执勤用车</w:t>
      </w:r>
      <w:r>
        <w:rPr>
          <w:rFonts w:hint="eastAsia" w:ascii="Times New Roman" w:hAnsi="Times New Roman" w:eastAsia="仿宋_GB2312" w:cs="Times New Roman"/>
          <w:kern w:val="0"/>
          <w:sz w:val="30"/>
          <w:szCs w:val="30"/>
          <w:highlight w:val="none"/>
          <w:lang w:eastAsia="zh-CN"/>
        </w:rPr>
        <w:t>0</w:t>
      </w:r>
      <w:r>
        <w:rPr>
          <w:rFonts w:ascii="Times New Roman" w:hAnsi="Times New Roman" w:eastAsia="仿宋_GB2312" w:cs="Times New Roman"/>
          <w:kern w:val="0"/>
          <w:sz w:val="30"/>
          <w:szCs w:val="30"/>
          <w:highlight w:val="none"/>
        </w:rPr>
        <w:t>辆</w:t>
      </w:r>
      <w:r>
        <w:rPr>
          <w:rFonts w:eastAsia="仿宋_GB2312"/>
          <w:sz w:val="30"/>
          <w:szCs w:val="30"/>
          <w:highlight w:val="none"/>
        </w:rPr>
        <w:t>、</w:t>
      </w:r>
      <w:r>
        <w:rPr>
          <w:rFonts w:ascii="Times New Roman" w:hAnsi="Times New Roman" w:eastAsia="仿宋_GB2312" w:cs="Times New Roman"/>
          <w:kern w:val="0"/>
          <w:sz w:val="30"/>
          <w:szCs w:val="30"/>
          <w:highlight w:val="none"/>
        </w:rPr>
        <w:t>特种专业技术用车</w:t>
      </w:r>
      <w:r>
        <w:rPr>
          <w:rFonts w:hint="eastAsia" w:ascii="Times New Roman" w:hAnsi="Times New Roman" w:eastAsia="仿宋_GB2312" w:cs="Times New Roman"/>
          <w:kern w:val="0"/>
          <w:sz w:val="30"/>
          <w:szCs w:val="30"/>
          <w:highlight w:val="none"/>
          <w:lang w:eastAsia="zh-CN"/>
        </w:rPr>
        <w:t>0</w:t>
      </w:r>
      <w:r>
        <w:rPr>
          <w:rFonts w:ascii="Times New Roman" w:hAnsi="Times New Roman" w:eastAsia="仿宋_GB2312" w:cs="Times New Roman"/>
          <w:kern w:val="0"/>
          <w:sz w:val="30"/>
          <w:szCs w:val="30"/>
          <w:highlight w:val="none"/>
        </w:rPr>
        <w:t>辆</w:t>
      </w:r>
      <w:r>
        <w:rPr>
          <w:rFonts w:eastAsia="仿宋_GB2312"/>
          <w:sz w:val="30"/>
          <w:szCs w:val="30"/>
          <w:highlight w:val="none"/>
        </w:rPr>
        <w:t>、</w:t>
      </w:r>
      <w:r>
        <w:rPr>
          <w:rFonts w:ascii="Times New Roman" w:hAnsi="Times New Roman" w:eastAsia="仿宋_GB2312" w:cs="Times New Roman"/>
          <w:kern w:val="0"/>
          <w:sz w:val="30"/>
          <w:szCs w:val="30"/>
          <w:highlight w:val="none"/>
        </w:rPr>
        <w:t>离退休干部</w:t>
      </w:r>
      <w:r>
        <w:rPr>
          <w:rFonts w:hint="eastAsia" w:ascii="Times New Roman" w:hAnsi="Times New Roman" w:eastAsia="仿宋_GB2312" w:cs="Times New Roman"/>
          <w:kern w:val="0"/>
          <w:sz w:val="30"/>
          <w:szCs w:val="30"/>
          <w:highlight w:val="none"/>
          <w:lang w:val="en-US" w:eastAsia="zh-CN"/>
        </w:rPr>
        <w:t>服务</w:t>
      </w:r>
      <w:r>
        <w:rPr>
          <w:rFonts w:ascii="Times New Roman" w:hAnsi="Times New Roman" w:eastAsia="仿宋_GB2312" w:cs="Times New Roman"/>
          <w:kern w:val="0"/>
          <w:sz w:val="30"/>
          <w:szCs w:val="30"/>
          <w:highlight w:val="none"/>
        </w:rPr>
        <w:t>用车</w:t>
      </w:r>
      <w:r>
        <w:rPr>
          <w:rFonts w:hint="eastAsia" w:ascii="Times New Roman" w:hAnsi="Times New Roman" w:eastAsia="仿宋_GB2312" w:cs="Times New Roman"/>
          <w:kern w:val="0"/>
          <w:sz w:val="30"/>
          <w:szCs w:val="30"/>
          <w:highlight w:val="none"/>
          <w:lang w:eastAsia="zh-CN"/>
        </w:rPr>
        <w:t>0</w:t>
      </w:r>
      <w:r>
        <w:rPr>
          <w:rFonts w:ascii="Times New Roman" w:hAnsi="Times New Roman" w:eastAsia="仿宋_GB2312" w:cs="Times New Roman"/>
          <w:kern w:val="0"/>
          <w:sz w:val="30"/>
          <w:szCs w:val="30"/>
          <w:highlight w:val="none"/>
        </w:rPr>
        <w:t>辆</w:t>
      </w:r>
      <w:r>
        <w:rPr>
          <w:rFonts w:eastAsia="仿宋_GB2312"/>
          <w:sz w:val="30"/>
          <w:szCs w:val="30"/>
          <w:highlight w:val="none"/>
        </w:rPr>
        <w:t>、</w:t>
      </w:r>
      <w:r>
        <w:rPr>
          <w:rFonts w:ascii="Times New Roman" w:hAnsi="Times New Roman" w:eastAsia="仿宋_GB2312" w:cs="Times New Roman"/>
          <w:kern w:val="0"/>
          <w:sz w:val="30"/>
          <w:szCs w:val="30"/>
          <w:highlight w:val="none"/>
        </w:rPr>
        <w:t>其他用车</w:t>
      </w:r>
      <w:r>
        <w:rPr>
          <w:rFonts w:hint="eastAsia" w:ascii="Times New Roman" w:hAnsi="Times New Roman" w:eastAsia="仿宋_GB2312" w:cs="Times New Roman"/>
          <w:kern w:val="0"/>
          <w:sz w:val="30"/>
          <w:szCs w:val="30"/>
          <w:highlight w:val="none"/>
          <w:lang w:eastAsia="zh-CN"/>
        </w:rPr>
        <w:t>1</w:t>
      </w:r>
      <w:r>
        <w:rPr>
          <w:rFonts w:ascii="Times New Roman" w:hAnsi="Times New Roman" w:eastAsia="仿宋_GB2312" w:cs="Times New Roman"/>
          <w:kern w:val="0"/>
          <w:sz w:val="30"/>
          <w:szCs w:val="30"/>
          <w:highlight w:val="none"/>
        </w:rPr>
        <w:t>辆</w:t>
      </w:r>
      <w:r>
        <w:rPr>
          <w:rFonts w:hint="eastAsia" w:ascii="Times New Roman" w:hAnsi="Times New Roman" w:eastAsia="仿宋_GB2312" w:cs="Times New Roman"/>
          <w:kern w:val="0"/>
          <w:sz w:val="30"/>
          <w:szCs w:val="30"/>
          <w:highlight w:val="none"/>
        </w:rPr>
        <w:t>，其他用车主要包括</w:t>
      </w:r>
      <w:r>
        <w:rPr>
          <w:rFonts w:hint="eastAsia" w:ascii="Times New Roman" w:hAnsi="Times New Roman" w:eastAsia="仿宋_GB2312" w:cs="仿宋_GB2312"/>
          <w:sz w:val="30"/>
          <w:szCs w:val="30"/>
          <w:highlight w:val="none"/>
          <w:lang w:eastAsia="zh-CN"/>
        </w:rPr>
        <w:t>取机要件和应急保障车辆</w:t>
      </w:r>
      <w:r>
        <w:rPr>
          <w:rFonts w:hint="default" w:eastAsia="仿宋_GB2312" w:asciiTheme="minorHAnsi" w:hAnsiTheme="minorHAnsi" w:cstheme="minorBidi"/>
          <w:kern w:val="2"/>
          <w:sz w:val="30"/>
          <w:szCs w:val="30"/>
          <w:highlight w:val="none"/>
          <w:lang w:val="zh-CN"/>
        </w:rPr>
        <w:t>。</w:t>
      </w:r>
      <w:r>
        <w:rPr>
          <w:rFonts w:hint="eastAsia" w:ascii="Times New Roman" w:hAnsi="Times New Roman" w:eastAsia="仿宋_GB2312" w:cs="仿宋_GB2312"/>
          <w:kern w:val="0"/>
          <w:sz w:val="30"/>
          <w:szCs w:val="30"/>
          <w:highlight w:val="none"/>
        </w:rPr>
        <w:t>单价</w:t>
      </w:r>
      <w:r>
        <w:rPr>
          <w:rFonts w:ascii="Times New Roman" w:hAnsi="Times New Roman" w:eastAsia="仿宋_GB2312" w:cs="仿宋_GB2312"/>
          <w:kern w:val="0"/>
          <w:sz w:val="30"/>
          <w:szCs w:val="30"/>
          <w:highlight w:val="none"/>
        </w:rPr>
        <w:t>100</w:t>
      </w:r>
      <w:r>
        <w:rPr>
          <w:rFonts w:hint="eastAsia" w:ascii="Times New Roman" w:hAnsi="Times New Roman" w:eastAsia="仿宋_GB2312" w:cs="仿宋_GB2312"/>
          <w:kern w:val="0"/>
          <w:sz w:val="30"/>
          <w:szCs w:val="30"/>
          <w:highlight w:val="none"/>
        </w:rPr>
        <w:t>万元以上的设备</w:t>
      </w:r>
      <w:r>
        <w:rPr>
          <w:rFonts w:hint="eastAsia" w:ascii="Times New Roman" w:hAnsi="Times New Roman" w:eastAsia="仿宋_GB2312" w:cs="Times New Roman"/>
          <w:kern w:val="0"/>
          <w:sz w:val="30"/>
          <w:szCs w:val="30"/>
          <w:highlight w:val="none"/>
          <w:lang w:eastAsia="zh-CN"/>
        </w:rPr>
        <w:t>5</w:t>
      </w:r>
      <w:r>
        <w:rPr>
          <w:rFonts w:hint="eastAsia" w:ascii="Times New Roman" w:hAnsi="Times New Roman" w:eastAsia="仿宋_GB2312" w:cs="仿宋_GB2312"/>
          <w:kern w:val="0"/>
          <w:sz w:val="30"/>
          <w:szCs w:val="30"/>
          <w:highlight w:val="none"/>
        </w:rPr>
        <w:t>台（套）。</w:t>
      </w:r>
    </w:p>
    <w:p w14:paraId="69E797E8">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p>
    <w:p w14:paraId="5202FBBB">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十三、</w:t>
      </w:r>
      <w:r>
        <w:rPr>
          <w:rFonts w:hint="eastAsia" w:ascii="Times New Roman" w:hAnsi="Times New Roman" w:eastAsia="黑体" w:cs="黑体"/>
          <w:b/>
          <w:bCs/>
          <w:kern w:val="0"/>
          <w:sz w:val="30"/>
          <w:szCs w:val="30"/>
          <w:highlight w:val="none"/>
        </w:rPr>
        <w:t>预算绩效情况说明</w:t>
      </w:r>
    </w:p>
    <w:p w14:paraId="07583818">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1、根据预算</w:t>
      </w:r>
      <w:r>
        <w:rPr>
          <w:rFonts w:hint="eastAsia" w:ascii="Times New Roman" w:hAnsi="Times New Roman" w:eastAsia="仿宋_GB2312" w:cs="仿宋_GB2312"/>
          <w:sz w:val="30"/>
          <w:szCs w:val="30"/>
          <w:highlight w:val="none"/>
          <w:lang w:val="en-US" w:eastAsia="zh-CN"/>
        </w:rPr>
        <w:t>绩效</w:t>
      </w:r>
      <w:r>
        <w:rPr>
          <w:rFonts w:hint="eastAsia" w:ascii="Times New Roman" w:hAnsi="Times New Roman" w:eastAsia="仿宋_GB2312" w:cs="仿宋_GB2312"/>
          <w:sz w:val="30"/>
          <w:szCs w:val="30"/>
          <w:highlight w:val="none"/>
          <w:lang w:eastAsia="zh-CN"/>
        </w:rPr>
        <w:t>管理要求，天津市电子信息技师学院2023年度对13个市级项目开展绩效评价，涉及金额34332407.4元，自评结果已随部门决算一并公开。</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2、本部门2023年度已对天津市电子信息技师学院13个项目开展部门评价，涉及金额34332407.4元。</w:t>
      </w:r>
    </w:p>
    <w:p w14:paraId="10E61DFE">
      <w:pPr>
        <w:keepNext/>
        <w:keepLines/>
        <w:autoSpaceDE w:val="0"/>
        <w:autoSpaceDN w:val="0"/>
        <w:adjustRightInd w:val="0"/>
        <w:spacing w:line="600" w:lineRule="exact"/>
        <w:ind w:firstLine="602"/>
        <w:jc w:val="left"/>
        <w:outlineLvl w:val="1"/>
        <w:rPr>
          <w:rFonts w:hint="eastAsia" w:ascii="Times New Roman" w:hAnsi="Times New Roman" w:eastAsia="仿宋_GB2312" w:cs="仿宋_GB2312"/>
          <w:kern w:val="0"/>
          <w:sz w:val="30"/>
          <w:szCs w:val="30"/>
          <w:highlight w:val="none"/>
        </w:rPr>
      </w:pPr>
      <w:r>
        <w:rPr>
          <w:rFonts w:hint="eastAsia" w:ascii="Times New Roman" w:hAnsi="Times New Roman" w:eastAsia="黑体" w:cs="黑体"/>
          <w:b/>
          <w:bCs/>
          <w:kern w:val="0"/>
          <w:sz w:val="30"/>
          <w:szCs w:val="30"/>
          <w:highlight w:val="none"/>
          <w:lang w:val="zh-CN"/>
        </w:rPr>
        <w:t>十四、</w:t>
      </w:r>
      <w:r>
        <w:rPr>
          <w:rFonts w:hint="eastAsia" w:ascii="Times New Roman" w:hAnsi="Times New Roman" w:eastAsia="黑体" w:cs="黑体"/>
          <w:b/>
          <w:bCs/>
          <w:kern w:val="0"/>
          <w:sz w:val="30"/>
          <w:szCs w:val="30"/>
          <w:highlight w:val="none"/>
        </w:rPr>
        <w:t>教育、医疗卫生、社会保障和就业、住房保障、涉农补贴等民生支出情况说明</w:t>
      </w:r>
    </w:p>
    <w:p w14:paraId="799C977D">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天津市电子信息技师学院不属于乡、镇、街级单位，不涉及公开2023年度教育、医疗卫生、社会保障和就业、住房保障、涉农补贴等民生支出情况。</w:t>
      </w:r>
    </w:p>
    <w:p w14:paraId="75369B48">
      <w:pPr>
        <w:autoSpaceDE w:val="0"/>
        <w:autoSpaceDN w:val="0"/>
        <w:adjustRightInd w:val="0"/>
        <w:jc w:val="left"/>
        <w:rPr>
          <w:rFonts w:ascii="Times New Roman" w:hAnsi="Times New Roman" w:eastAsia="仿宋_GB2312" w:cs="仿宋_GB2312"/>
          <w:b/>
          <w:bCs/>
          <w:color w:val="000000"/>
          <w:kern w:val="0"/>
          <w:sz w:val="30"/>
          <w:szCs w:val="30"/>
          <w:highlight w:val="none"/>
        </w:rPr>
      </w:pPr>
      <w:r>
        <w:rPr>
          <w:rFonts w:ascii="Times New Roman" w:hAnsi="Times New Roman" w:eastAsia="仿宋_GB2312" w:cs="仿宋_GB2312"/>
          <w:b/>
          <w:bCs/>
          <w:color w:val="000000"/>
          <w:kern w:val="0"/>
          <w:sz w:val="30"/>
          <w:szCs w:val="30"/>
          <w:highlight w:val="none"/>
        </w:rPr>
        <w:br w:type="page"/>
      </w:r>
    </w:p>
    <w:p w14:paraId="4BFEFF77">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第四部分名词解释</w:t>
      </w:r>
    </w:p>
    <w:p w14:paraId="0F540DB2">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p>
    <w:p w14:paraId="1CC980EC">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lang w:val="en-US" w:eastAsia="zh-CN"/>
        </w:rPr>
        <w:t>1</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14:paraId="56EC90AE">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2.</w:t>
      </w:r>
      <w:r>
        <w:rPr>
          <w:rFonts w:hint="eastAsia" w:ascii="Times New Roman" w:hAnsi="Times New Roman" w:eastAsia="仿宋_GB2312" w:cs="仿宋_GB2312"/>
          <w:kern w:val="0"/>
          <w:sz w:val="30"/>
          <w:szCs w:val="30"/>
          <w:highlight w:val="none"/>
        </w:rPr>
        <w:t>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14:paraId="7F59DC10">
      <w:pPr>
        <w:autoSpaceDE w:val="0"/>
        <w:autoSpaceDN w:val="0"/>
        <w:adjustRightInd w:val="0"/>
        <w:spacing w:line="600" w:lineRule="exact"/>
        <w:ind w:firstLine="600"/>
        <w:jc w:val="left"/>
        <w:rPr>
          <w:rFonts w:ascii="Times New Roman" w:hAnsi="Times New Roman"/>
          <w:highlight w:val="none"/>
        </w:rPr>
      </w:pPr>
      <w:r>
        <w:rPr>
          <w:rFonts w:ascii="Times New Roman" w:hAnsi="Times New Roman" w:eastAsia="仿宋_GB2312" w:cs="仿宋_GB2312"/>
          <w:kern w:val="0"/>
          <w:sz w:val="30"/>
          <w:szCs w:val="30"/>
          <w:highlight w:val="none"/>
        </w:rPr>
        <w:t>3.“</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p>
    <w:sectPr>
      <w:pgSz w:w="12240" w:h="15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A2YjM1ZjE5MDIxMThhNDU1MDg3N2JkYmM3YWFmZDkifQ=="/>
  </w:docVars>
  <w:rsids>
    <w:rsidRoot w:val="006A094D"/>
    <w:rsid w:val="00013A12"/>
    <w:rsid w:val="0002687D"/>
    <w:rsid w:val="00047C6F"/>
    <w:rsid w:val="000528EE"/>
    <w:rsid w:val="000719FD"/>
    <w:rsid w:val="000B5C71"/>
    <w:rsid w:val="000D4B98"/>
    <w:rsid w:val="00127EFA"/>
    <w:rsid w:val="00142888"/>
    <w:rsid w:val="00152EEB"/>
    <w:rsid w:val="00153077"/>
    <w:rsid w:val="00167CB7"/>
    <w:rsid w:val="001A0E4F"/>
    <w:rsid w:val="001B5C3C"/>
    <w:rsid w:val="001C0399"/>
    <w:rsid w:val="001D587E"/>
    <w:rsid w:val="002124F6"/>
    <w:rsid w:val="00264B59"/>
    <w:rsid w:val="002A4997"/>
    <w:rsid w:val="002E6086"/>
    <w:rsid w:val="00302490"/>
    <w:rsid w:val="003227B2"/>
    <w:rsid w:val="003536BE"/>
    <w:rsid w:val="003B25FB"/>
    <w:rsid w:val="004A482F"/>
    <w:rsid w:val="004F39BF"/>
    <w:rsid w:val="005062D7"/>
    <w:rsid w:val="005175E6"/>
    <w:rsid w:val="00525157"/>
    <w:rsid w:val="005349A2"/>
    <w:rsid w:val="00575537"/>
    <w:rsid w:val="005D1367"/>
    <w:rsid w:val="005D3F56"/>
    <w:rsid w:val="00654D17"/>
    <w:rsid w:val="006623EC"/>
    <w:rsid w:val="006A094D"/>
    <w:rsid w:val="006D2409"/>
    <w:rsid w:val="006E65DB"/>
    <w:rsid w:val="00776FF3"/>
    <w:rsid w:val="0078156E"/>
    <w:rsid w:val="00786E74"/>
    <w:rsid w:val="007D1285"/>
    <w:rsid w:val="007E49E1"/>
    <w:rsid w:val="007F6DA7"/>
    <w:rsid w:val="008174D5"/>
    <w:rsid w:val="00885126"/>
    <w:rsid w:val="0089698B"/>
    <w:rsid w:val="008D48A9"/>
    <w:rsid w:val="00941A30"/>
    <w:rsid w:val="00977DCC"/>
    <w:rsid w:val="009820CF"/>
    <w:rsid w:val="00982A8B"/>
    <w:rsid w:val="009A7ED3"/>
    <w:rsid w:val="009D74D7"/>
    <w:rsid w:val="00A57AE7"/>
    <w:rsid w:val="00AF71AE"/>
    <w:rsid w:val="00B33C70"/>
    <w:rsid w:val="00B75228"/>
    <w:rsid w:val="00B811F1"/>
    <w:rsid w:val="00B81B9F"/>
    <w:rsid w:val="00BC763A"/>
    <w:rsid w:val="00BC7D6F"/>
    <w:rsid w:val="00BD3CAC"/>
    <w:rsid w:val="00BF697A"/>
    <w:rsid w:val="00C52E77"/>
    <w:rsid w:val="00C65A44"/>
    <w:rsid w:val="00C76AC3"/>
    <w:rsid w:val="00C83EB4"/>
    <w:rsid w:val="00D4505A"/>
    <w:rsid w:val="00D65B41"/>
    <w:rsid w:val="00DC3234"/>
    <w:rsid w:val="00DC3CD0"/>
    <w:rsid w:val="00DD60B5"/>
    <w:rsid w:val="00E7602B"/>
    <w:rsid w:val="00E964B2"/>
    <w:rsid w:val="00EA6549"/>
    <w:rsid w:val="00F007FE"/>
    <w:rsid w:val="017D4A3B"/>
    <w:rsid w:val="01A10E80"/>
    <w:rsid w:val="01C858F6"/>
    <w:rsid w:val="029D518A"/>
    <w:rsid w:val="03311B3F"/>
    <w:rsid w:val="03901927"/>
    <w:rsid w:val="05CA273A"/>
    <w:rsid w:val="05E55C53"/>
    <w:rsid w:val="069A035E"/>
    <w:rsid w:val="07267E44"/>
    <w:rsid w:val="07425D24"/>
    <w:rsid w:val="07A23238"/>
    <w:rsid w:val="085D1644"/>
    <w:rsid w:val="0A7D5D1A"/>
    <w:rsid w:val="0AF018E5"/>
    <w:rsid w:val="0B1428B6"/>
    <w:rsid w:val="0B2716A6"/>
    <w:rsid w:val="0B2E72C7"/>
    <w:rsid w:val="0C411F0C"/>
    <w:rsid w:val="0CDD71F7"/>
    <w:rsid w:val="0D664210"/>
    <w:rsid w:val="0DA7267B"/>
    <w:rsid w:val="0DFB4FC0"/>
    <w:rsid w:val="0E267459"/>
    <w:rsid w:val="0EBB5316"/>
    <w:rsid w:val="0F4936D8"/>
    <w:rsid w:val="0FC42B69"/>
    <w:rsid w:val="0FF22FB9"/>
    <w:rsid w:val="118916FB"/>
    <w:rsid w:val="1221675E"/>
    <w:rsid w:val="12C34799"/>
    <w:rsid w:val="12D93FBD"/>
    <w:rsid w:val="13463246"/>
    <w:rsid w:val="142D4C1F"/>
    <w:rsid w:val="15F1161D"/>
    <w:rsid w:val="161D1413"/>
    <w:rsid w:val="1666200B"/>
    <w:rsid w:val="16C5644A"/>
    <w:rsid w:val="16D76A65"/>
    <w:rsid w:val="17C84C4C"/>
    <w:rsid w:val="1949378C"/>
    <w:rsid w:val="199A3054"/>
    <w:rsid w:val="1A1104E0"/>
    <w:rsid w:val="1A404E9F"/>
    <w:rsid w:val="1AA54268"/>
    <w:rsid w:val="1B173F14"/>
    <w:rsid w:val="1B4641B9"/>
    <w:rsid w:val="1B520DB0"/>
    <w:rsid w:val="1B5D5A1E"/>
    <w:rsid w:val="1B7A68EC"/>
    <w:rsid w:val="1CCA277E"/>
    <w:rsid w:val="1D730353"/>
    <w:rsid w:val="1DFB572F"/>
    <w:rsid w:val="1EC5396A"/>
    <w:rsid w:val="1EFB0588"/>
    <w:rsid w:val="1F155C25"/>
    <w:rsid w:val="20DB5BFD"/>
    <w:rsid w:val="21365D81"/>
    <w:rsid w:val="21556D90"/>
    <w:rsid w:val="21C24E94"/>
    <w:rsid w:val="21D01091"/>
    <w:rsid w:val="21D73FEC"/>
    <w:rsid w:val="23736675"/>
    <w:rsid w:val="24B227A0"/>
    <w:rsid w:val="25BA7C7E"/>
    <w:rsid w:val="2666570F"/>
    <w:rsid w:val="26DB4B05"/>
    <w:rsid w:val="271B299E"/>
    <w:rsid w:val="27DD7C53"/>
    <w:rsid w:val="284E3F62"/>
    <w:rsid w:val="28612632"/>
    <w:rsid w:val="291C58B3"/>
    <w:rsid w:val="2A924D25"/>
    <w:rsid w:val="2BC20F83"/>
    <w:rsid w:val="2C800474"/>
    <w:rsid w:val="2C8F0671"/>
    <w:rsid w:val="2D5A0475"/>
    <w:rsid w:val="2DA05507"/>
    <w:rsid w:val="2E487134"/>
    <w:rsid w:val="2E8C3709"/>
    <w:rsid w:val="2F146650"/>
    <w:rsid w:val="2FA13000"/>
    <w:rsid w:val="2FC74096"/>
    <w:rsid w:val="2FF951BC"/>
    <w:rsid w:val="307A24E3"/>
    <w:rsid w:val="307A6987"/>
    <w:rsid w:val="30BB5227"/>
    <w:rsid w:val="313F372D"/>
    <w:rsid w:val="32146967"/>
    <w:rsid w:val="32443D30"/>
    <w:rsid w:val="32672F3B"/>
    <w:rsid w:val="33032C66"/>
    <w:rsid w:val="332D3FC0"/>
    <w:rsid w:val="354D7E20"/>
    <w:rsid w:val="35747E49"/>
    <w:rsid w:val="35823AFA"/>
    <w:rsid w:val="358C1096"/>
    <w:rsid w:val="35B6328D"/>
    <w:rsid w:val="35F44AE6"/>
    <w:rsid w:val="36144696"/>
    <w:rsid w:val="36580FD3"/>
    <w:rsid w:val="381E22EE"/>
    <w:rsid w:val="3AF76503"/>
    <w:rsid w:val="3B0209DD"/>
    <w:rsid w:val="3B0C198B"/>
    <w:rsid w:val="3B483C6E"/>
    <w:rsid w:val="3B776F10"/>
    <w:rsid w:val="3B7C7A57"/>
    <w:rsid w:val="3B8E1539"/>
    <w:rsid w:val="3D600CB3"/>
    <w:rsid w:val="3E426F14"/>
    <w:rsid w:val="3EB42189"/>
    <w:rsid w:val="3EC62D97"/>
    <w:rsid w:val="3EEF0B4C"/>
    <w:rsid w:val="3EF16375"/>
    <w:rsid w:val="3F2006FA"/>
    <w:rsid w:val="40CF0629"/>
    <w:rsid w:val="4137238C"/>
    <w:rsid w:val="41CC0838"/>
    <w:rsid w:val="43612B5A"/>
    <w:rsid w:val="43805C0B"/>
    <w:rsid w:val="43B835F7"/>
    <w:rsid w:val="44552CED"/>
    <w:rsid w:val="44EB17AA"/>
    <w:rsid w:val="45984C48"/>
    <w:rsid w:val="47727F60"/>
    <w:rsid w:val="485D29BF"/>
    <w:rsid w:val="49374433"/>
    <w:rsid w:val="49DA103E"/>
    <w:rsid w:val="4A2319E6"/>
    <w:rsid w:val="4A8E57CD"/>
    <w:rsid w:val="4CA13CE1"/>
    <w:rsid w:val="4CD450D8"/>
    <w:rsid w:val="4D14664A"/>
    <w:rsid w:val="4D210FC7"/>
    <w:rsid w:val="4D720D77"/>
    <w:rsid w:val="4DB9688D"/>
    <w:rsid w:val="4E4E3945"/>
    <w:rsid w:val="4E8C7B5A"/>
    <w:rsid w:val="4F167E2F"/>
    <w:rsid w:val="4F391364"/>
    <w:rsid w:val="4FA424E7"/>
    <w:rsid w:val="4FBD62FD"/>
    <w:rsid w:val="4FD337AC"/>
    <w:rsid w:val="4FE523CE"/>
    <w:rsid w:val="5236167C"/>
    <w:rsid w:val="52A37398"/>
    <w:rsid w:val="53C102A5"/>
    <w:rsid w:val="54380029"/>
    <w:rsid w:val="54A61249"/>
    <w:rsid w:val="54F16968"/>
    <w:rsid w:val="55AC416B"/>
    <w:rsid w:val="564C0516"/>
    <w:rsid w:val="5713248B"/>
    <w:rsid w:val="57833AC4"/>
    <w:rsid w:val="578735B4"/>
    <w:rsid w:val="58C3061C"/>
    <w:rsid w:val="58E93DFA"/>
    <w:rsid w:val="599E4BE5"/>
    <w:rsid w:val="59BA7B71"/>
    <w:rsid w:val="5A1C0F73"/>
    <w:rsid w:val="5A964C59"/>
    <w:rsid w:val="5C170425"/>
    <w:rsid w:val="5CD612EB"/>
    <w:rsid w:val="5D032E6E"/>
    <w:rsid w:val="5DC66F7C"/>
    <w:rsid w:val="5DFB2606"/>
    <w:rsid w:val="5E015742"/>
    <w:rsid w:val="5EB1144C"/>
    <w:rsid w:val="5EF37781"/>
    <w:rsid w:val="5F6D7131"/>
    <w:rsid w:val="5F7856C5"/>
    <w:rsid w:val="5FF67529"/>
    <w:rsid w:val="615900E7"/>
    <w:rsid w:val="61D75AE1"/>
    <w:rsid w:val="620B43D3"/>
    <w:rsid w:val="624C1682"/>
    <w:rsid w:val="63B80927"/>
    <w:rsid w:val="643C1F0A"/>
    <w:rsid w:val="644D16E1"/>
    <w:rsid w:val="64925346"/>
    <w:rsid w:val="654D2EBE"/>
    <w:rsid w:val="654E5711"/>
    <w:rsid w:val="656942F9"/>
    <w:rsid w:val="65B558C0"/>
    <w:rsid w:val="665D659A"/>
    <w:rsid w:val="667274BD"/>
    <w:rsid w:val="66BC2A82"/>
    <w:rsid w:val="66E77000"/>
    <w:rsid w:val="672E57FA"/>
    <w:rsid w:val="67C464E1"/>
    <w:rsid w:val="68200AB4"/>
    <w:rsid w:val="68C169D0"/>
    <w:rsid w:val="6B4F5D3F"/>
    <w:rsid w:val="6B963EB9"/>
    <w:rsid w:val="6BBB51FE"/>
    <w:rsid w:val="6BF54B38"/>
    <w:rsid w:val="6C054650"/>
    <w:rsid w:val="6C1D5E3D"/>
    <w:rsid w:val="6CF70A69"/>
    <w:rsid w:val="6CFE17CB"/>
    <w:rsid w:val="6D5E0469"/>
    <w:rsid w:val="6D854C1A"/>
    <w:rsid w:val="6E080CF4"/>
    <w:rsid w:val="6EB34837"/>
    <w:rsid w:val="70180DF5"/>
    <w:rsid w:val="704716DB"/>
    <w:rsid w:val="708C6A78"/>
    <w:rsid w:val="70E84C6C"/>
    <w:rsid w:val="70FE35D3"/>
    <w:rsid w:val="710F434F"/>
    <w:rsid w:val="71600CA6"/>
    <w:rsid w:val="7260119C"/>
    <w:rsid w:val="72701CEB"/>
    <w:rsid w:val="72B3615B"/>
    <w:rsid w:val="73724CC1"/>
    <w:rsid w:val="7455465F"/>
    <w:rsid w:val="75AB44BA"/>
    <w:rsid w:val="79B7155B"/>
    <w:rsid w:val="79DC07A5"/>
    <w:rsid w:val="7ACA53E2"/>
    <w:rsid w:val="7B143565"/>
    <w:rsid w:val="7E2E7A36"/>
    <w:rsid w:val="7E703A39"/>
    <w:rsid w:val="7F3217A8"/>
    <w:rsid w:val="7FDD79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styleId="2">
    <w:name w:val="heading 1"/>
    <w:basedOn w:val="1"/>
    <w:next w:val="1"/>
    <w:link w:val="9"/>
    <w:qFormat/>
    <w:uiPriority w:val="99"/>
    <w:pPr>
      <w:autoSpaceDE w:val="0"/>
      <w:autoSpaceDN w:val="0"/>
      <w:adjustRightInd w:val="0"/>
      <w:jc w:val="left"/>
      <w:outlineLvl w:val="0"/>
    </w:pPr>
    <w:rPr>
      <w:rFonts w:ascii="方正小标宋简体" w:eastAsia="方正小标宋简体"/>
      <w:kern w:val="0"/>
      <w:sz w:val="24"/>
      <w:szCs w:val="24"/>
    </w:rPr>
  </w:style>
  <w:style w:type="paragraph" w:styleId="3">
    <w:name w:val="heading 2"/>
    <w:basedOn w:val="1"/>
    <w:next w:val="1"/>
    <w:link w:val="10"/>
    <w:qFormat/>
    <w:uiPriority w:val="99"/>
    <w:pPr>
      <w:autoSpaceDE w:val="0"/>
      <w:autoSpaceDN w:val="0"/>
      <w:adjustRightInd w:val="0"/>
      <w:jc w:val="left"/>
      <w:outlineLvl w:val="1"/>
    </w:pPr>
    <w:rPr>
      <w:rFonts w:ascii="方正小标宋简体" w:eastAsia="方正小标宋简体"/>
      <w:kern w:val="0"/>
      <w:sz w:val="24"/>
      <w:szCs w:val="2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semiHidden/>
    <w:unhideWhenUsed/>
    <w:qFormat/>
    <w:uiPriority w:val="99"/>
    <w:pPr>
      <w:jc w:val="left"/>
    </w:p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tabs>
        <w:tab w:val="center" w:pos="4153"/>
        <w:tab w:val="right" w:pos="8306"/>
      </w:tabs>
      <w:snapToGrid w:val="0"/>
      <w:jc w:val="center"/>
    </w:pPr>
    <w:rPr>
      <w:sz w:val="18"/>
      <w:szCs w:val="18"/>
    </w:rPr>
  </w:style>
  <w:style w:type="character" w:customStyle="1" w:styleId="9">
    <w:name w:val="标题 1 字符"/>
    <w:basedOn w:val="8"/>
    <w:link w:val="2"/>
    <w:qFormat/>
    <w:uiPriority w:val="99"/>
    <w:rPr>
      <w:rFonts w:ascii="方正小标宋简体" w:eastAsia="方正小标宋简体"/>
      <w:kern w:val="0"/>
      <w:sz w:val="24"/>
      <w:szCs w:val="24"/>
    </w:rPr>
  </w:style>
  <w:style w:type="character" w:customStyle="1" w:styleId="10">
    <w:name w:val="标题 2 字符"/>
    <w:basedOn w:val="8"/>
    <w:link w:val="3"/>
    <w:qFormat/>
    <w:uiPriority w:val="99"/>
    <w:rPr>
      <w:rFonts w:ascii="方正小标宋简体" w:eastAsia="方正小标宋简体"/>
      <w:kern w:val="0"/>
      <w:sz w:val="24"/>
      <w:szCs w:val="24"/>
    </w:rPr>
  </w:style>
  <w:style w:type="character" w:customStyle="1" w:styleId="11">
    <w:name w:val="页眉 字符"/>
    <w:basedOn w:val="8"/>
    <w:link w:val="6"/>
    <w:qFormat/>
    <w:uiPriority w:val="99"/>
    <w:rPr>
      <w:sz w:val="18"/>
      <w:szCs w:val="18"/>
    </w:rPr>
  </w:style>
  <w:style w:type="character" w:customStyle="1" w:styleId="12">
    <w:name w:val="页脚 字符"/>
    <w:basedOn w:val="8"/>
    <w:link w:val="5"/>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5208</Words>
  <Characters>6354</Characters>
  <Lines>82</Lines>
  <Paragraphs>23</Paragraphs>
  <TotalTime>18</TotalTime>
  <ScaleCrop>false</ScaleCrop>
  <LinksUpToDate>false</LinksUpToDate>
  <CharactersWithSpaces>6397</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2023-08-11T08:11:00Z</dcterms:created>
  <dc:creator>office</dc:creator>
  <cp:lastModifiedBy>Administrator</cp:lastModifiedBy>
  <dcterms:modified xsi:type="dcterms:W3CDTF">2024-08-29T03:09:45Z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84C99996E3F748748B70185080A55DF7_13</vt:lpwstr>
  </property>
</Properties>
</file>